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600"/>
        <w:jc w:val="center"/>
        <w:rPr>
          <w:b/>
          <w:bCs/>
          <w:sz w:val="36"/>
          <w:szCs w:val="36"/>
        </w:rPr>
      </w:pPr>
      <w:bookmarkStart w:id="0" w:name="_GoBack"/>
      <w:bookmarkEnd w:id="0"/>
    </w:p>
    <w:p>
      <w:pPr>
        <w:spacing w:line="580" w:lineRule="exact"/>
        <w:ind w:firstLine="600"/>
        <w:jc w:val="center"/>
        <w:rPr>
          <w:b/>
          <w:bCs/>
          <w:sz w:val="36"/>
          <w:szCs w:val="36"/>
        </w:rPr>
      </w:pPr>
      <w:r>
        <w:rPr>
          <w:b/>
          <w:bCs/>
          <w:sz w:val="36"/>
          <w:szCs w:val="36"/>
        </w:rPr>
        <w:t xml:space="preserve"> </w:t>
      </w:r>
    </w:p>
    <w:p>
      <w:pPr>
        <w:spacing w:line="580" w:lineRule="exact"/>
        <w:ind w:firstLine="600"/>
        <w:jc w:val="center"/>
        <w:rPr>
          <w:b/>
          <w:bCs/>
          <w:sz w:val="36"/>
          <w:szCs w:val="36"/>
        </w:rPr>
      </w:pPr>
      <w:r>
        <w:rPr>
          <w:b/>
          <w:bCs/>
          <w:sz w:val="36"/>
          <w:szCs w:val="36"/>
        </w:rPr>
        <w:t xml:space="preserve"> </w:t>
      </w:r>
    </w:p>
    <w:p>
      <w:pPr>
        <w:spacing w:line="580" w:lineRule="exact"/>
        <w:ind w:firstLine="600"/>
        <w:jc w:val="center"/>
        <w:rPr>
          <w:b/>
          <w:bCs/>
          <w:sz w:val="36"/>
          <w:szCs w:val="36"/>
        </w:rPr>
      </w:pPr>
      <w:r>
        <w:rPr>
          <w:b/>
          <w:bCs/>
          <w:sz w:val="36"/>
          <w:szCs w:val="36"/>
        </w:rPr>
        <w:t xml:space="preserve"> </w:t>
      </w:r>
    </w:p>
    <w:p>
      <w:pPr>
        <w:spacing w:line="580" w:lineRule="exact"/>
        <w:ind w:firstLine="600"/>
        <w:jc w:val="center"/>
        <w:rPr>
          <w:b/>
          <w:bCs/>
          <w:sz w:val="36"/>
          <w:szCs w:val="36"/>
        </w:rPr>
      </w:pPr>
      <w:r>
        <w:rPr>
          <w:b/>
          <w:bCs/>
          <w:sz w:val="36"/>
          <w:szCs w:val="36"/>
        </w:rPr>
        <w:t xml:space="preserve"> </w:t>
      </w:r>
    </w:p>
    <w:p>
      <w:pPr>
        <w:spacing w:line="580" w:lineRule="exact"/>
        <w:ind w:firstLine="600"/>
        <w:jc w:val="center"/>
        <w:rPr>
          <w:b/>
          <w:bCs/>
          <w:sz w:val="36"/>
          <w:szCs w:val="36"/>
        </w:rPr>
      </w:pPr>
      <w:r>
        <w:rPr>
          <w:b/>
          <w:bCs/>
          <w:sz w:val="36"/>
          <w:szCs w:val="36"/>
        </w:rPr>
        <w:t xml:space="preserve"> </w:t>
      </w:r>
    </w:p>
    <w:p>
      <w:pPr>
        <w:spacing w:line="580" w:lineRule="exact"/>
        <w:ind w:firstLine="600"/>
        <w:jc w:val="center"/>
        <w:rPr>
          <w:b/>
          <w:bCs/>
          <w:sz w:val="36"/>
          <w:szCs w:val="36"/>
        </w:rPr>
      </w:pPr>
      <w:r>
        <w:rPr>
          <w:b/>
          <w:bCs/>
          <w:sz w:val="36"/>
          <w:szCs w:val="36"/>
        </w:rPr>
        <w:t xml:space="preserve"> </w:t>
      </w:r>
    </w:p>
    <w:p>
      <w:pPr>
        <w:spacing w:line="580" w:lineRule="exact"/>
        <w:ind w:firstLine="600"/>
        <w:jc w:val="center"/>
        <w:rPr>
          <w:b/>
          <w:bCs/>
          <w:sz w:val="36"/>
          <w:szCs w:val="36"/>
        </w:rPr>
      </w:pPr>
      <w:r>
        <w:rPr>
          <w:b/>
          <w:bCs/>
          <w:sz w:val="36"/>
          <w:szCs w:val="36"/>
        </w:rPr>
        <w:t xml:space="preserve"> </w:t>
      </w:r>
    </w:p>
    <w:p>
      <w:pPr>
        <w:spacing w:line="580" w:lineRule="exact"/>
        <w:ind w:firstLine="600"/>
        <w:jc w:val="center"/>
        <w:rPr>
          <w:b/>
          <w:bCs/>
          <w:sz w:val="36"/>
          <w:szCs w:val="36"/>
        </w:rPr>
      </w:pPr>
      <w:r>
        <w:rPr>
          <w:b/>
          <w:bCs/>
          <w:sz w:val="36"/>
          <w:szCs w:val="36"/>
        </w:rPr>
        <w:t xml:space="preserve"> </w:t>
      </w:r>
    </w:p>
    <w:p>
      <w:pPr>
        <w:ind w:firstLine="601"/>
        <w:jc w:val="center"/>
        <w:rPr>
          <w:b/>
          <w:bCs/>
          <w:sz w:val="44"/>
          <w:szCs w:val="44"/>
        </w:rPr>
      </w:pPr>
      <w:r>
        <w:rPr>
          <w:rFonts w:ascii="仿宋_GB2312" w:hAnsi="仿宋_GB2312"/>
          <w:b/>
          <w:bCs/>
          <w:sz w:val="44"/>
          <w:szCs w:val="44"/>
        </w:rPr>
        <w:t>内蒙古自治区通辽市科尔沁左翼中旗财政局</w:t>
      </w:r>
    </w:p>
    <w:p>
      <w:pPr>
        <w:ind w:firstLine="601"/>
        <w:jc w:val="center"/>
        <w:rPr>
          <w:b/>
          <w:bCs/>
          <w:sz w:val="44"/>
          <w:szCs w:val="44"/>
        </w:rPr>
      </w:pPr>
      <w:r>
        <w:rPr>
          <w:rFonts w:ascii="仿宋_GB2312" w:hAnsi="仿宋_GB2312"/>
          <w:b/>
          <w:bCs/>
          <w:sz w:val="44"/>
          <w:szCs w:val="44"/>
        </w:rPr>
        <w:t>2019年度决算公开报告</w:t>
      </w:r>
    </w:p>
    <w:p>
      <w:pPr>
        <w:spacing w:line="580" w:lineRule="exact"/>
        <w:ind w:firstLine="600"/>
        <w:jc w:val="center"/>
        <w:rPr>
          <w:b/>
          <w:bCs/>
          <w:sz w:val="36"/>
          <w:szCs w:val="36"/>
        </w:rPr>
      </w:pPr>
      <w:r>
        <w:rPr>
          <w:b/>
          <w:bCs/>
          <w:sz w:val="36"/>
          <w:szCs w:val="36"/>
        </w:rPr>
        <w:t xml:space="preserve"> </w:t>
      </w:r>
    </w:p>
    <w:p>
      <w:pPr>
        <w:spacing w:line="580" w:lineRule="exact"/>
        <w:ind w:firstLine="600"/>
        <w:jc w:val="center"/>
        <w:rPr>
          <w:b/>
          <w:bCs/>
          <w:sz w:val="36"/>
          <w:szCs w:val="36"/>
        </w:rPr>
      </w:pPr>
      <w:r>
        <w:rPr>
          <w:b/>
          <w:bCs/>
          <w:sz w:val="36"/>
          <w:szCs w:val="36"/>
        </w:rPr>
        <w:t xml:space="preserve"> </w:t>
      </w:r>
    </w:p>
    <w:p>
      <w:pPr>
        <w:spacing w:line="580" w:lineRule="exact"/>
        <w:ind w:firstLine="600"/>
        <w:jc w:val="center"/>
        <w:rPr>
          <w:b/>
          <w:bCs/>
          <w:sz w:val="36"/>
          <w:szCs w:val="36"/>
        </w:rPr>
      </w:pPr>
      <w:r>
        <w:rPr>
          <w:b/>
          <w:bCs/>
          <w:sz w:val="36"/>
          <w:szCs w:val="36"/>
        </w:rPr>
        <w:t xml:space="preserve"> </w:t>
      </w:r>
    </w:p>
    <w:p>
      <w:pPr>
        <w:spacing w:line="580" w:lineRule="exact"/>
        <w:ind w:firstLine="600"/>
        <w:jc w:val="center"/>
        <w:rPr>
          <w:b/>
          <w:bCs/>
          <w:sz w:val="36"/>
          <w:szCs w:val="36"/>
        </w:rPr>
      </w:pPr>
      <w:r>
        <w:rPr>
          <w:b/>
          <w:bCs/>
          <w:sz w:val="36"/>
          <w:szCs w:val="36"/>
        </w:rPr>
        <w:t xml:space="preserve"> </w:t>
      </w:r>
    </w:p>
    <w:p>
      <w:pPr>
        <w:spacing w:line="580" w:lineRule="exact"/>
        <w:ind w:firstLine="600"/>
        <w:jc w:val="center"/>
        <w:rPr>
          <w:b/>
          <w:bCs/>
          <w:sz w:val="36"/>
          <w:szCs w:val="36"/>
        </w:rPr>
      </w:pPr>
      <w:r>
        <w:rPr>
          <w:b/>
          <w:bCs/>
          <w:sz w:val="36"/>
          <w:szCs w:val="36"/>
        </w:rPr>
        <w:t xml:space="preserve"> </w:t>
      </w:r>
    </w:p>
    <w:p>
      <w:pPr>
        <w:spacing w:line="580" w:lineRule="exact"/>
        <w:ind w:firstLine="600"/>
        <w:jc w:val="center"/>
        <w:rPr>
          <w:b/>
          <w:bCs/>
          <w:sz w:val="36"/>
          <w:szCs w:val="36"/>
        </w:rPr>
      </w:pPr>
      <w:r>
        <w:rPr>
          <w:b/>
          <w:bCs/>
          <w:sz w:val="36"/>
          <w:szCs w:val="36"/>
        </w:rPr>
        <w:t xml:space="preserve"> </w:t>
      </w:r>
    </w:p>
    <w:p>
      <w:pPr>
        <w:spacing w:line="580" w:lineRule="exact"/>
        <w:ind w:firstLine="600"/>
        <w:jc w:val="center"/>
        <w:rPr>
          <w:b/>
          <w:bCs/>
          <w:sz w:val="36"/>
          <w:szCs w:val="36"/>
        </w:rPr>
      </w:pPr>
      <w:r>
        <w:rPr>
          <w:b/>
          <w:bCs/>
          <w:sz w:val="36"/>
          <w:szCs w:val="36"/>
        </w:rPr>
        <w:t xml:space="preserve"> </w:t>
      </w:r>
    </w:p>
    <w:p>
      <w:pPr>
        <w:spacing w:line="580" w:lineRule="exact"/>
        <w:ind w:firstLine="600"/>
        <w:jc w:val="center"/>
        <w:rPr>
          <w:b/>
          <w:bCs/>
          <w:sz w:val="36"/>
          <w:szCs w:val="36"/>
        </w:rPr>
      </w:pPr>
      <w:r>
        <w:rPr>
          <w:b/>
          <w:bCs/>
          <w:sz w:val="36"/>
          <w:szCs w:val="36"/>
        </w:rPr>
        <w:t xml:space="preserve"> </w:t>
      </w:r>
    </w:p>
    <w:p>
      <w:pPr>
        <w:spacing w:line="580" w:lineRule="exact"/>
        <w:ind w:firstLine="600"/>
        <w:jc w:val="center"/>
        <w:rPr>
          <w:b/>
          <w:bCs/>
          <w:sz w:val="36"/>
          <w:szCs w:val="36"/>
        </w:rPr>
      </w:pPr>
      <w:r>
        <w:rPr>
          <w:b/>
          <w:bCs/>
          <w:sz w:val="36"/>
          <w:szCs w:val="36"/>
        </w:rPr>
        <w:t xml:space="preserve"> </w:t>
      </w:r>
    </w:p>
    <w:p>
      <w:pPr>
        <w:spacing w:line="580" w:lineRule="exact"/>
        <w:ind w:firstLine="600"/>
        <w:jc w:val="center"/>
        <w:rPr>
          <w:b/>
          <w:bCs/>
          <w:sz w:val="36"/>
          <w:szCs w:val="36"/>
        </w:rPr>
      </w:pPr>
      <w:r>
        <w:rPr>
          <w:b/>
          <w:bCs/>
          <w:sz w:val="36"/>
          <w:szCs w:val="36"/>
        </w:rPr>
        <w:t xml:space="preserve"> </w:t>
      </w:r>
    </w:p>
    <w:p>
      <w:pPr>
        <w:ind w:firstLine="601"/>
        <w:jc w:val="left"/>
        <w:rPr>
          <w:b/>
          <w:bCs/>
          <w:sz w:val="44"/>
          <w:szCs w:val="44"/>
        </w:rPr>
      </w:pPr>
      <w:r>
        <w:rPr>
          <w:b/>
          <w:bCs/>
          <w:sz w:val="44"/>
          <w:szCs w:val="44"/>
        </w:rPr>
        <w:t xml:space="preserve"> </w:t>
      </w:r>
    </w:p>
    <w:p>
      <w:pPr>
        <w:ind w:firstLine="601"/>
        <w:jc w:val="center"/>
        <w:rPr>
          <w:b/>
          <w:bCs/>
          <w:sz w:val="44"/>
          <w:szCs w:val="44"/>
        </w:rPr>
      </w:pPr>
      <w:r>
        <w:rPr>
          <w:rFonts w:ascii="仿宋_GB2312" w:hAnsi="仿宋_GB2312"/>
          <w:b/>
          <w:bCs/>
          <w:sz w:val="44"/>
          <w:szCs w:val="44"/>
        </w:rPr>
        <w:t>目录</w:t>
      </w:r>
    </w:p>
    <w:p>
      <w:pPr>
        <w:ind w:firstLine="601"/>
        <w:jc w:val="left"/>
        <w:rPr>
          <w:b/>
          <w:bCs/>
          <w:sz w:val="44"/>
          <w:szCs w:val="44"/>
        </w:rPr>
      </w:pPr>
      <w:r>
        <w:rPr>
          <w:b/>
          <w:bCs/>
          <w:sz w:val="44"/>
          <w:szCs w:val="44"/>
        </w:rPr>
        <w:t xml:space="preserve"> </w:t>
      </w:r>
    </w:p>
    <w:p>
      <w:pPr>
        <w:spacing w:line="580" w:lineRule="exact"/>
        <w:ind w:firstLine="601"/>
        <w:jc w:val="left"/>
        <w:rPr>
          <w:b/>
          <w:bCs/>
          <w:sz w:val="32"/>
          <w:szCs w:val="32"/>
        </w:rPr>
      </w:pPr>
      <w:r>
        <w:rPr>
          <w:rFonts w:hint="eastAsia" w:ascii="黑体" w:hAnsi="黑体" w:eastAsia="黑体"/>
          <w:b/>
          <w:bCs/>
          <w:sz w:val="32"/>
          <w:szCs w:val="32"/>
        </w:rPr>
        <w:t>第一部分 部门基本情况</w:t>
      </w:r>
    </w:p>
    <w:p>
      <w:pPr>
        <w:spacing w:line="580" w:lineRule="exact"/>
        <w:ind w:firstLine="601"/>
        <w:jc w:val="left"/>
        <w:rPr>
          <w:sz w:val="32"/>
          <w:szCs w:val="32"/>
        </w:rPr>
      </w:pPr>
      <w:r>
        <w:rPr>
          <w:rFonts w:ascii="仿宋_GB2312" w:hAnsi="仿宋_GB2312"/>
          <w:sz w:val="32"/>
          <w:szCs w:val="32"/>
        </w:rPr>
        <w:t>一、部门职责</w:t>
      </w:r>
    </w:p>
    <w:p>
      <w:pPr>
        <w:spacing w:line="580" w:lineRule="exact"/>
        <w:ind w:firstLine="601"/>
        <w:jc w:val="left"/>
        <w:rPr>
          <w:sz w:val="32"/>
          <w:szCs w:val="32"/>
        </w:rPr>
      </w:pPr>
      <w:r>
        <w:rPr>
          <w:rFonts w:ascii="仿宋_GB2312" w:hAnsi="仿宋_GB2312"/>
          <w:sz w:val="32"/>
          <w:szCs w:val="32"/>
        </w:rPr>
        <w:t>二、机构设置</w:t>
      </w:r>
    </w:p>
    <w:p>
      <w:pPr>
        <w:spacing w:line="580" w:lineRule="exact"/>
        <w:ind w:firstLine="601"/>
        <w:jc w:val="left"/>
        <w:rPr>
          <w:b/>
          <w:bCs/>
          <w:sz w:val="32"/>
          <w:szCs w:val="32"/>
        </w:rPr>
      </w:pPr>
      <w:r>
        <w:rPr>
          <w:rFonts w:hint="eastAsia" w:ascii="黑体" w:hAnsi="黑体" w:eastAsia="黑体"/>
          <w:b/>
          <w:bCs/>
          <w:sz w:val="32"/>
          <w:szCs w:val="32"/>
        </w:rPr>
        <w:t>第二部分 2019年度部门决算情况说明</w:t>
      </w:r>
    </w:p>
    <w:p>
      <w:pPr>
        <w:spacing w:line="580" w:lineRule="exact"/>
        <w:ind w:firstLine="601"/>
        <w:jc w:val="left"/>
        <w:rPr>
          <w:sz w:val="32"/>
          <w:szCs w:val="32"/>
        </w:rPr>
      </w:pPr>
      <w:r>
        <w:rPr>
          <w:rFonts w:ascii="仿宋_GB2312" w:hAnsi="仿宋_GB2312"/>
          <w:sz w:val="32"/>
          <w:szCs w:val="32"/>
        </w:rPr>
        <w:t>一、关于2019年度预算执行情况分析</w:t>
      </w:r>
    </w:p>
    <w:p>
      <w:pPr>
        <w:spacing w:line="580" w:lineRule="exact"/>
        <w:ind w:firstLine="601"/>
        <w:jc w:val="left"/>
        <w:rPr>
          <w:sz w:val="32"/>
          <w:szCs w:val="32"/>
        </w:rPr>
      </w:pPr>
      <w:r>
        <w:rPr>
          <w:rFonts w:ascii="仿宋_GB2312" w:hAnsi="仿宋_GB2312"/>
          <w:sz w:val="32"/>
          <w:szCs w:val="32"/>
        </w:rPr>
        <w:t>二、关于2019年度决算情况说明</w:t>
      </w:r>
    </w:p>
    <w:p>
      <w:pPr>
        <w:spacing w:line="580" w:lineRule="exact"/>
        <w:ind w:firstLine="601"/>
        <w:jc w:val="left"/>
        <w:rPr>
          <w:sz w:val="32"/>
          <w:szCs w:val="32"/>
        </w:rPr>
      </w:pPr>
      <w:r>
        <w:rPr>
          <w:rFonts w:ascii="仿宋_GB2312" w:hAnsi="仿宋_GB2312"/>
          <w:sz w:val="32"/>
          <w:szCs w:val="32"/>
        </w:rPr>
        <w:t>（一）关于收支情况总体说明</w:t>
      </w:r>
    </w:p>
    <w:p>
      <w:pPr>
        <w:spacing w:line="580" w:lineRule="exact"/>
        <w:ind w:firstLine="601"/>
        <w:jc w:val="left"/>
        <w:rPr>
          <w:sz w:val="32"/>
          <w:szCs w:val="32"/>
        </w:rPr>
      </w:pPr>
      <w:r>
        <w:rPr>
          <w:rFonts w:ascii="仿宋_GB2312" w:hAnsi="仿宋_GB2312"/>
          <w:sz w:val="32"/>
          <w:szCs w:val="32"/>
        </w:rPr>
        <w:t>（二）关于2019年度收入决算情况说明</w:t>
      </w:r>
    </w:p>
    <w:p>
      <w:pPr>
        <w:spacing w:line="580" w:lineRule="exact"/>
        <w:ind w:firstLine="601"/>
        <w:jc w:val="left"/>
        <w:rPr>
          <w:sz w:val="32"/>
          <w:szCs w:val="32"/>
        </w:rPr>
      </w:pPr>
      <w:r>
        <w:rPr>
          <w:rFonts w:ascii="仿宋_GB2312" w:hAnsi="仿宋_GB2312"/>
          <w:sz w:val="32"/>
          <w:szCs w:val="32"/>
        </w:rPr>
        <w:t>（三）关于2019年度支出决算情况说明</w:t>
      </w:r>
    </w:p>
    <w:p>
      <w:pPr>
        <w:spacing w:line="580" w:lineRule="exact"/>
        <w:ind w:firstLine="601"/>
        <w:jc w:val="left"/>
        <w:rPr>
          <w:sz w:val="32"/>
          <w:szCs w:val="32"/>
        </w:rPr>
      </w:pPr>
      <w:r>
        <w:rPr>
          <w:rFonts w:ascii="仿宋_GB2312" w:hAnsi="仿宋_GB2312"/>
          <w:sz w:val="32"/>
          <w:szCs w:val="32"/>
        </w:rPr>
        <w:t>（四）关于2019年度财政拨款收入支出决算总体情况说明</w:t>
      </w:r>
    </w:p>
    <w:p>
      <w:pPr>
        <w:spacing w:line="580" w:lineRule="exact"/>
        <w:ind w:firstLine="601"/>
        <w:jc w:val="left"/>
        <w:rPr>
          <w:sz w:val="32"/>
          <w:szCs w:val="32"/>
        </w:rPr>
      </w:pPr>
      <w:r>
        <w:rPr>
          <w:rFonts w:ascii="仿宋_GB2312" w:hAnsi="仿宋_GB2312"/>
          <w:sz w:val="32"/>
          <w:szCs w:val="32"/>
        </w:rPr>
        <w:t>（五）关于2019年度一般公共预算财政拨款支出决算情况说明</w:t>
      </w:r>
    </w:p>
    <w:p>
      <w:pPr>
        <w:spacing w:line="580" w:lineRule="exact"/>
        <w:ind w:firstLine="601"/>
        <w:jc w:val="left"/>
        <w:rPr>
          <w:sz w:val="32"/>
          <w:szCs w:val="32"/>
        </w:rPr>
      </w:pPr>
      <w:r>
        <w:rPr>
          <w:rFonts w:ascii="仿宋_GB2312" w:hAnsi="仿宋_GB2312"/>
          <w:sz w:val="32"/>
          <w:szCs w:val="32"/>
        </w:rPr>
        <w:t>（六）关于2019年度一般公共预算财政拨款基本支出决算情况说明</w:t>
      </w:r>
    </w:p>
    <w:p>
      <w:pPr>
        <w:spacing w:line="580" w:lineRule="exact"/>
        <w:ind w:firstLine="601"/>
        <w:jc w:val="left"/>
        <w:rPr>
          <w:sz w:val="32"/>
          <w:szCs w:val="32"/>
        </w:rPr>
      </w:pPr>
      <w:r>
        <w:rPr>
          <w:rFonts w:ascii="仿宋_GB2312" w:hAnsi="仿宋_GB2312"/>
          <w:sz w:val="32"/>
          <w:szCs w:val="32"/>
        </w:rPr>
        <w:t>（七）关于2019年度财政拨款</w:t>
      </w:r>
      <w:r>
        <w:rPr>
          <w:sz w:val="32"/>
          <w:szCs w:val="32"/>
        </w:rPr>
        <w:t>“</w:t>
      </w:r>
      <w:r>
        <w:rPr>
          <w:rFonts w:ascii="仿宋_GB2312" w:hAnsi="仿宋_GB2312"/>
          <w:sz w:val="32"/>
          <w:szCs w:val="32"/>
        </w:rPr>
        <w:t>三公</w:t>
      </w:r>
      <w:r>
        <w:rPr>
          <w:sz w:val="32"/>
          <w:szCs w:val="32"/>
        </w:rPr>
        <w:t>”</w:t>
      </w:r>
      <w:r>
        <w:rPr>
          <w:rFonts w:ascii="仿宋_GB2312" w:hAnsi="仿宋_GB2312"/>
          <w:sz w:val="32"/>
          <w:szCs w:val="32"/>
        </w:rPr>
        <w:t>经费支出决算情况说明</w:t>
      </w:r>
    </w:p>
    <w:p>
      <w:pPr>
        <w:spacing w:line="580" w:lineRule="exact"/>
        <w:ind w:firstLine="601"/>
        <w:jc w:val="left"/>
        <w:rPr>
          <w:sz w:val="32"/>
          <w:szCs w:val="32"/>
        </w:rPr>
      </w:pPr>
      <w:r>
        <w:rPr>
          <w:sz w:val="32"/>
          <w:szCs w:val="32"/>
        </w:rPr>
        <w:tab/>
      </w:r>
      <w:r>
        <w:rPr>
          <w:rFonts w:ascii="仿宋_GB2312" w:hAnsi="仿宋_GB2312"/>
          <w:sz w:val="32"/>
          <w:szCs w:val="32"/>
        </w:rPr>
        <w:t>1、财政拨款</w:t>
      </w:r>
      <w:r>
        <w:rPr>
          <w:sz w:val="32"/>
          <w:szCs w:val="32"/>
        </w:rPr>
        <w:t>“</w:t>
      </w:r>
      <w:r>
        <w:rPr>
          <w:rFonts w:ascii="仿宋_GB2312" w:hAnsi="仿宋_GB2312"/>
          <w:sz w:val="32"/>
          <w:szCs w:val="32"/>
        </w:rPr>
        <w:t>三公</w:t>
      </w:r>
      <w:r>
        <w:rPr>
          <w:sz w:val="32"/>
          <w:szCs w:val="32"/>
        </w:rPr>
        <w:t>”</w:t>
      </w:r>
      <w:r>
        <w:rPr>
          <w:rFonts w:ascii="仿宋_GB2312" w:hAnsi="仿宋_GB2312"/>
          <w:sz w:val="32"/>
          <w:szCs w:val="32"/>
        </w:rPr>
        <w:t>经费支出决算总体情况说明</w:t>
      </w:r>
    </w:p>
    <w:p>
      <w:pPr>
        <w:spacing w:line="580" w:lineRule="exact"/>
        <w:ind w:firstLine="601"/>
        <w:jc w:val="left"/>
        <w:rPr>
          <w:sz w:val="32"/>
          <w:szCs w:val="32"/>
        </w:rPr>
      </w:pPr>
      <w:r>
        <w:rPr>
          <w:sz w:val="32"/>
          <w:szCs w:val="32"/>
        </w:rPr>
        <w:tab/>
      </w:r>
      <w:r>
        <w:rPr>
          <w:rFonts w:ascii="仿宋_GB2312" w:hAnsi="仿宋_GB2312"/>
          <w:sz w:val="32"/>
          <w:szCs w:val="32"/>
        </w:rPr>
        <w:t>2、财政拨款</w:t>
      </w:r>
      <w:r>
        <w:rPr>
          <w:sz w:val="32"/>
          <w:szCs w:val="32"/>
        </w:rPr>
        <w:t>“</w:t>
      </w:r>
      <w:r>
        <w:rPr>
          <w:rFonts w:ascii="仿宋_GB2312" w:hAnsi="仿宋_GB2312"/>
          <w:sz w:val="32"/>
          <w:szCs w:val="32"/>
        </w:rPr>
        <w:t>三公</w:t>
      </w:r>
      <w:r>
        <w:rPr>
          <w:sz w:val="32"/>
          <w:szCs w:val="32"/>
        </w:rPr>
        <w:t>”</w:t>
      </w:r>
      <w:r>
        <w:rPr>
          <w:rFonts w:ascii="仿宋_GB2312" w:hAnsi="仿宋_GB2312"/>
          <w:sz w:val="32"/>
          <w:szCs w:val="32"/>
        </w:rPr>
        <w:t>经费支出决算具体情况说明</w:t>
      </w:r>
    </w:p>
    <w:p>
      <w:pPr>
        <w:spacing w:line="580" w:lineRule="exact"/>
        <w:ind w:firstLine="601"/>
        <w:jc w:val="left"/>
        <w:rPr>
          <w:sz w:val="32"/>
          <w:szCs w:val="32"/>
        </w:rPr>
      </w:pPr>
      <w:r>
        <w:rPr>
          <w:rFonts w:ascii="仿宋_GB2312" w:hAnsi="仿宋_GB2312"/>
          <w:sz w:val="32"/>
          <w:szCs w:val="32"/>
        </w:rPr>
        <w:t>三、预算绩效情况说明</w:t>
      </w:r>
    </w:p>
    <w:p>
      <w:pPr>
        <w:spacing w:line="580" w:lineRule="exact"/>
        <w:ind w:firstLine="600"/>
        <w:rPr>
          <w:sz w:val="32"/>
          <w:szCs w:val="32"/>
        </w:rPr>
      </w:pPr>
      <w:r>
        <w:rPr>
          <w:rFonts w:ascii="仿宋_GB2312" w:hAnsi="仿宋_GB2312"/>
          <w:sz w:val="32"/>
          <w:szCs w:val="32"/>
        </w:rPr>
        <w:t>（一）预算绩效管理工作开展情况</w:t>
      </w:r>
    </w:p>
    <w:p>
      <w:pPr>
        <w:spacing w:line="580" w:lineRule="exact"/>
        <w:ind w:firstLine="600"/>
        <w:rPr>
          <w:sz w:val="32"/>
          <w:szCs w:val="32"/>
        </w:rPr>
      </w:pPr>
      <w:r>
        <w:rPr>
          <w:rFonts w:ascii="仿宋_GB2312" w:hAnsi="仿宋_GB2312"/>
          <w:sz w:val="32"/>
          <w:szCs w:val="32"/>
        </w:rPr>
        <w:t>（二）部门决算中项目绩效自评结果</w:t>
      </w:r>
    </w:p>
    <w:p>
      <w:pPr>
        <w:spacing w:line="580" w:lineRule="exact"/>
        <w:ind w:firstLine="601"/>
        <w:jc w:val="left"/>
        <w:rPr>
          <w:sz w:val="32"/>
          <w:szCs w:val="32"/>
        </w:rPr>
      </w:pPr>
      <w:r>
        <w:rPr>
          <w:rFonts w:ascii="仿宋_GB2312" w:hAnsi="仿宋_GB2312"/>
          <w:sz w:val="32"/>
          <w:szCs w:val="32"/>
        </w:rPr>
        <w:t>四、其他重要事项的情况说明</w:t>
      </w:r>
    </w:p>
    <w:p>
      <w:pPr>
        <w:spacing w:line="580" w:lineRule="exact"/>
        <w:ind w:firstLine="601"/>
        <w:jc w:val="left"/>
        <w:rPr>
          <w:sz w:val="32"/>
          <w:szCs w:val="32"/>
        </w:rPr>
      </w:pPr>
      <w:r>
        <w:rPr>
          <w:rFonts w:ascii="仿宋_GB2312" w:hAnsi="仿宋_GB2312"/>
          <w:sz w:val="32"/>
          <w:szCs w:val="32"/>
        </w:rPr>
        <w:t>（一）机关运行经费支出情况</w:t>
      </w:r>
    </w:p>
    <w:p>
      <w:pPr>
        <w:spacing w:line="580" w:lineRule="exact"/>
        <w:ind w:firstLine="601"/>
        <w:jc w:val="left"/>
        <w:rPr>
          <w:sz w:val="32"/>
          <w:szCs w:val="32"/>
        </w:rPr>
      </w:pPr>
      <w:r>
        <w:rPr>
          <w:rFonts w:ascii="仿宋_GB2312" w:hAnsi="仿宋_GB2312"/>
          <w:sz w:val="32"/>
          <w:szCs w:val="32"/>
        </w:rPr>
        <w:t>（二）政府采购支出情况</w:t>
      </w:r>
    </w:p>
    <w:p>
      <w:pPr>
        <w:spacing w:line="580" w:lineRule="exact"/>
        <w:ind w:firstLine="601"/>
        <w:jc w:val="left"/>
        <w:rPr>
          <w:sz w:val="32"/>
          <w:szCs w:val="32"/>
        </w:rPr>
      </w:pPr>
      <w:r>
        <w:rPr>
          <w:rFonts w:ascii="仿宋_GB2312" w:hAnsi="仿宋_GB2312"/>
          <w:sz w:val="32"/>
          <w:szCs w:val="32"/>
        </w:rPr>
        <w:t>（三）国有资产占用情况</w:t>
      </w:r>
    </w:p>
    <w:p>
      <w:pPr>
        <w:spacing w:line="580" w:lineRule="exact"/>
        <w:ind w:firstLine="601"/>
        <w:jc w:val="left"/>
        <w:rPr>
          <w:sz w:val="32"/>
          <w:szCs w:val="32"/>
        </w:rPr>
      </w:pPr>
      <w:r>
        <w:rPr>
          <w:sz w:val="32"/>
          <w:szCs w:val="32"/>
        </w:rPr>
        <w:t xml:space="preserve"> </w:t>
      </w:r>
    </w:p>
    <w:p>
      <w:pPr>
        <w:spacing w:line="580" w:lineRule="exact"/>
        <w:ind w:firstLine="601"/>
        <w:jc w:val="left"/>
        <w:rPr>
          <w:b/>
          <w:bCs/>
          <w:sz w:val="32"/>
          <w:szCs w:val="32"/>
        </w:rPr>
      </w:pPr>
      <w:r>
        <w:rPr>
          <w:rFonts w:hint="eastAsia" w:ascii="黑体" w:hAnsi="黑体" w:eastAsia="黑体"/>
          <w:b/>
          <w:bCs/>
          <w:sz w:val="32"/>
          <w:szCs w:val="32"/>
        </w:rPr>
        <w:t>第三部分 名词解释</w:t>
      </w:r>
    </w:p>
    <w:p>
      <w:pPr>
        <w:spacing w:line="580" w:lineRule="exact"/>
        <w:ind w:firstLine="601"/>
        <w:jc w:val="left"/>
        <w:rPr>
          <w:b/>
          <w:bCs/>
          <w:sz w:val="32"/>
          <w:szCs w:val="32"/>
        </w:rPr>
      </w:pPr>
      <w:r>
        <w:rPr>
          <w:rFonts w:hint="eastAsia" w:ascii="黑体" w:hAnsi="黑体" w:eastAsia="黑体"/>
          <w:b/>
          <w:bCs/>
          <w:sz w:val="32"/>
          <w:szCs w:val="32"/>
        </w:rPr>
        <w:t>第四部分 决算公开联系方式及信息反馈渠道</w:t>
      </w:r>
    </w:p>
    <w:p>
      <w:pPr>
        <w:spacing w:line="580" w:lineRule="exact"/>
        <w:ind w:firstLine="601"/>
        <w:jc w:val="left"/>
        <w:rPr>
          <w:b/>
          <w:bCs/>
          <w:sz w:val="32"/>
          <w:szCs w:val="32"/>
        </w:rPr>
      </w:pPr>
      <w:r>
        <w:rPr>
          <w:rFonts w:hint="eastAsia" w:ascii="黑体" w:hAnsi="黑体" w:eastAsia="黑体"/>
          <w:b/>
          <w:bCs/>
          <w:sz w:val="32"/>
          <w:szCs w:val="32"/>
        </w:rPr>
        <w:t>第五部分 部门决算公开表</w:t>
      </w:r>
    </w:p>
    <w:p>
      <w:pPr>
        <w:spacing w:line="580" w:lineRule="exact"/>
        <w:ind w:firstLine="601"/>
        <w:jc w:val="left"/>
        <w:rPr>
          <w:sz w:val="32"/>
          <w:szCs w:val="32"/>
        </w:rPr>
      </w:pPr>
      <w:r>
        <w:rPr>
          <w:rFonts w:ascii="仿宋_GB2312" w:hAnsi="仿宋_GB2312"/>
          <w:sz w:val="32"/>
          <w:szCs w:val="32"/>
        </w:rPr>
        <w:t>一、收入支出决算总表</w:t>
      </w:r>
    </w:p>
    <w:p>
      <w:pPr>
        <w:spacing w:line="580" w:lineRule="exact"/>
        <w:ind w:firstLine="601"/>
        <w:jc w:val="left"/>
        <w:rPr>
          <w:sz w:val="32"/>
          <w:szCs w:val="32"/>
        </w:rPr>
      </w:pPr>
      <w:r>
        <w:rPr>
          <w:rFonts w:ascii="仿宋_GB2312" w:hAnsi="仿宋_GB2312"/>
          <w:sz w:val="32"/>
          <w:szCs w:val="32"/>
        </w:rPr>
        <w:t>二、收入决算表</w:t>
      </w:r>
    </w:p>
    <w:p>
      <w:pPr>
        <w:spacing w:line="580" w:lineRule="exact"/>
        <w:ind w:firstLine="601"/>
        <w:jc w:val="left"/>
        <w:rPr>
          <w:sz w:val="32"/>
          <w:szCs w:val="32"/>
        </w:rPr>
      </w:pPr>
      <w:r>
        <w:rPr>
          <w:rFonts w:ascii="仿宋_GB2312" w:hAnsi="仿宋_GB2312"/>
          <w:sz w:val="32"/>
          <w:szCs w:val="32"/>
        </w:rPr>
        <w:t>三、支出决算表</w:t>
      </w:r>
    </w:p>
    <w:p>
      <w:pPr>
        <w:spacing w:line="580" w:lineRule="exact"/>
        <w:ind w:firstLine="601"/>
        <w:jc w:val="left"/>
        <w:rPr>
          <w:sz w:val="32"/>
          <w:szCs w:val="32"/>
        </w:rPr>
      </w:pPr>
      <w:r>
        <w:rPr>
          <w:rFonts w:ascii="仿宋_GB2312" w:hAnsi="仿宋_GB2312"/>
          <w:sz w:val="32"/>
          <w:szCs w:val="32"/>
        </w:rPr>
        <w:t>四、财政拨款收入支出决算总表</w:t>
      </w:r>
    </w:p>
    <w:p>
      <w:pPr>
        <w:spacing w:line="580" w:lineRule="exact"/>
        <w:ind w:firstLine="601"/>
        <w:jc w:val="left"/>
        <w:rPr>
          <w:sz w:val="32"/>
          <w:szCs w:val="32"/>
        </w:rPr>
      </w:pPr>
      <w:r>
        <w:rPr>
          <w:rFonts w:ascii="仿宋_GB2312" w:hAnsi="仿宋_GB2312"/>
          <w:sz w:val="32"/>
          <w:szCs w:val="32"/>
        </w:rPr>
        <w:t>五、一般公共预算财政拨款支出决算表</w:t>
      </w:r>
    </w:p>
    <w:p>
      <w:pPr>
        <w:spacing w:line="580" w:lineRule="exact"/>
        <w:ind w:firstLine="601"/>
        <w:jc w:val="left"/>
        <w:rPr>
          <w:sz w:val="32"/>
          <w:szCs w:val="32"/>
        </w:rPr>
      </w:pPr>
      <w:r>
        <w:rPr>
          <w:rFonts w:ascii="仿宋_GB2312" w:hAnsi="仿宋_GB2312"/>
          <w:sz w:val="32"/>
          <w:szCs w:val="32"/>
        </w:rPr>
        <w:t>六、一般公共预算财政拨款基本支出决算明细表</w:t>
      </w:r>
    </w:p>
    <w:p>
      <w:pPr>
        <w:spacing w:line="580" w:lineRule="exact"/>
        <w:ind w:firstLine="601"/>
        <w:jc w:val="left"/>
        <w:rPr>
          <w:sz w:val="32"/>
          <w:szCs w:val="32"/>
        </w:rPr>
      </w:pPr>
      <w:r>
        <w:rPr>
          <w:rFonts w:ascii="仿宋_GB2312" w:hAnsi="仿宋_GB2312"/>
          <w:sz w:val="32"/>
          <w:szCs w:val="32"/>
        </w:rPr>
        <w:t>七、政府性基金预算财政拨款收入支出决算表</w:t>
      </w:r>
    </w:p>
    <w:p>
      <w:pPr>
        <w:spacing w:line="580" w:lineRule="exact"/>
        <w:ind w:firstLine="601"/>
        <w:jc w:val="left"/>
        <w:rPr>
          <w:sz w:val="32"/>
          <w:szCs w:val="32"/>
        </w:rPr>
      </w:pPr>
      <w:r>
        <w:rPr>
          <w:rFonts w:ascii="仿宋_GB2312" w:hAnsi="仿宋_GB2312"/>
          <w:sz w:val="32"/>
          <w:szCs w:val="32"/>
        </w:rPr>
        <w:t>八、机构运行信息表</w:t>
      </w:r>
    </w:p>
    <w:p>
      <w:pPr>
        <w:ind w:firstLine="601"/>
        <w:jc w:val="left"/>
        <w:rPr>
          <w:b/>
          <w:bCs/>
          <w:sz w:val="44"/>
          <w:szCs w:val="44"/>
        </w:rPr>
      </w:pPr>
      <w:r>
        <w:rPr>
          <w:b/>
          <w:bCs/>
          <w:sz w:val="44"/>
          <w:szCs w:val="44"/>
        </w:rPr>
        <w:t xml:space="preserve"> </w:t>
      </w:r>
    </w:p>
    <w:p>
      <w:pPr>
        <w:spacing w:line="580" w:lineRule="exact"/>
        <w:ind w:firstLine="600"/>
        <w:rPr>
          <w:sz w:val="32"/>
          <w:szCs w:val="32"/>
        </w:rPr>
      </w:pPr>
      <w:r>
        <w:rPr>
          <w:b/>
          <w:bCs/>
          <w:sz w:val="36"/>
          <w:szCs w:val="36"/>
        </w:rPr>
        <w:br w:type="page"/>
      </w:r>
      <w:r>
        <w:rPr>
          <w:rFonts w:ascii="仿宋_GB2312" w:hAnsi="仿宋_GB2312"/>
          <w:b/>
          <w:bCs/>
          <w:sz w:val="32"/>
          <w:szCs w:val="32"/>
        </w:rPr>
        <w:t>第一部分 部门基本情况</w:t>
      </w:r>
    </w:p>
    <w:p>
      <w:pPr>
        <w:spacing w:line="580" w:lineRule="exact"/>
        <w:ind w:firstLine="600"/>
        <w:rPr>
          <w:sz w:val="32"/>
          <w:szCs w:val="32"/>
        </w:rPr>
      </w:pPr>
      <w:r>
        <w:rPr>
          <w:rFonts w:ascii="仿宋_GB2312" w:hAnsi="仿宋_GB2312"/>
          <w:sz w:val="32"/>
          <w:szCs w:val="32"/>
        </w:rPr>
        <w:t>一、部门职责</w:t>
      </w:r>
    </w:p>
    <w:p>
      <w:pPr>
        <w:spacing w:line="560" w:lineRule="exact"/>
        <w:ind w:firstLine="640" w:firstLineChars="200"/>
        <w:rPr>
          <w:rFonts w:ascii="仿宋_GB2312" w:hAnsi="仿宋_GB2312"/>
          <w:color w:val="3E3E3E"/>
          <w:sz w:val="32"/>
          <w:szCs w:val="32"/>
        </w:rPr>
      </w:pPr>
      <w:r>
        <w:rPr>
          <w:rFonts w:ascii="仿宋_GB2312" w:hAnsi="仿宋_GB2312"/>
          <w:color w:val="333333"/>
          <w:sz w:val="32"/>
          <w:szCs w:val="32"/>
        </w:rPr>
        <w:t>(1)贯彻执行国家财政、税收等各项方针政策及法律法规；参与全市宏观经济的决策和管理；拟定全市财政、税收的发展战略、中长期规划、改革方案；提出运用财政、税收政策宏观调控和综合平衡社会财力的建议；拟定市对乡(办)财政管理体制。(2)编制年度全市预算草案并组织执行；受市人民政府委托，向市人民代表大会报告全市财政预算及执行情况，向人大常委会报告决算。 (3)管理各项财政收入、预算外资金和政府性基金。(4)办理和监督全旗农业、科技、教育、社会保障、城市建设、行政执法、文化卫生等各项财政公共支出；负责管理和监督政府采购工作；负责对行政性投资工程预决算审核工作，组织实施各预算单位会计集中核算；根据国家规定的开支标准和支出政策，制定全市统一规定的开支标准和支出意见。</w:t>
      </w:r>
    </w:p>
    <w:p>
      <w:pPr>
        <w:spacing w:line="580" w:lineRule="exact"/>
        <w:ind w:firstLine="600"/>
        <w:rPr>
          <w:sz w:val="32"/>
          <w:szCs w:val="32"/>
        </w:rPr>
      </w:pPr>
      <w:r>
        <w:rPr>
          <w:rFonts w:ascii="仿宋_GB2312" w:hAnsi="仿宋_GB2312"/>
          <w:sz w:val="32"/>
          <w:szCs w:val="32"/>
        </w:rPr>
        <w:t>二、机构设置</w:t>
      </w:r>
    </w:p>
    <w:p>
      <w:pPr>
        <w:spacing w:line="560" w:lineRule="exact"/>
        <w:ind w:firstLine="640" w:firstLineChars="200"/>
        <w:rPr>
          <w:rFonts w:ascii="仿宋_GB2312" w:hAnsi="仿宋_GB2312"/>
          <w:color w:val="333333"/>
          <w:sz w:val="32"/>
          <w:szCs w:val="32"/>
        </w:rPr>
      </w:pPr>
      <w:r>
        <w:rPr>
          <w:rFonts w:ascii="仿宋_GB2312" w:hAnsi="仿宋_GB2312"/>
          <w:color w:val="333333"/>
          <w:sz w:val="32"/>
          <w:szCs w:val="32"/>
        </w:rPr>
        <w:t>本单位内部设立17个股室，年末总人数93人，其中在职60人，退休33人，其他人员有26人。</w:t>
      </w:r>
    </w:p>
    <w:p>
      <w:pPr>
        <w:spacing w:line="580" w:lineRule="exact"/>
        <w:ind w:firstLine="600"/>
        <w:rPr>
          <w:b/>
          <w:bCs/>
          <w:sz w:val="32"/>
          <w:szCs w:val="32"/>
        </w:rPr>
      </w:pPr>
      <w:r>
        <w:rPr>
          <w:rFonts w:ascii="仿宋_GB2312" w:hAnsi="仿宋_GB2312"/>
          <w:b/>
          <w:bCs/>
          <w:sz w:val="32"/>
          <w:szCs w:val="32"/>
        </w:rPr>
        <w:t>第二部分 2019年度部门决算情况说明</w:t>
      </w:r>
    </w:p>
    <w:p>
      <w:pPr>
        <w:spacing w:line="580" w:lineRule="exact"/>
        <w:ind w:firstLine="600"/>
        <w:rPr>
          <w:sz w:val="32"/>
          <w:szCs w:val="32"/>
        </w:rPr>
      </w:pPr>
      <w:r>
        <w:rPr>
          <w:rFonts w:ascii="仿宋_GB2312" w:hAnsi="仿宋_GB2312"/>
          <w:sz w:val="32"/>
          <w:szCs w:val="32"/>
        </w:rPr>
        <w:t>一、关于2019年度预算执行情况分析</w:t>
      </w:r>
    </w:p>
    <w:p>
      <w:pPr>
        <w:spacing w:line="580" w:lineRule="exact"/>
        <w:ind w:firstLine="600"/>
        <w:rPr>
          <w:rFonts w:ascii="仿宋_GB2312" w:hAnsi="仿宋_GB2312"/>
          <w:sz w:val="32"/>
          <w:szCs w:val="32"/>
        </w:rPr>
      </w:pPr>
      <w:r>
        <w:rPr>
          <w:rFonts w:ascii="仿宋_GB2312" w:hAnsi="仿宋_GB2312"/>
          <w:sz w:val="32"/>
          <w:szCs w:val="32"/>
        </w:rPr>
        <w:t>本年度预算收入为 1068.35万元。一般共公服务支出预算为873.35万元，社会保障支出为195万元。</w:t>
      </w:r>
    </w:p>
    <w:p>
      <w:pPr>
        <w:spacing w:line="580" w:lineRule="exact"/>
        <w:ind w:firstLine="600"/>
        <w:rPr>
          <w:sz w:val="32"/>
          <w:szCs w:val="32"/>
        </w:rPr>
      </w:pPr>
      <w:r>
        <w:rPr>
          <w:rFonts w:ascii="仿宋_GB2312" w:hAnsi="仿宋_GB2312"/>
          <w:sz w:val="32"/>
          <w:szCs w:val="32"/>
        </w:rPr>
        <w:t>二、关于2019年度决算情况说明</w:t>
      </w:r>
    </w:p>
    <w:p>
      <w:pPr>
        <w:spacing w:line="580" w:lineRule="exact"/>
        <w:ind w:firstLine="600"/>
        <w:rPr>
          <w:sz w:val="32"/>
          <w:szCs w:val="32"/>
        </w:rPr>
      </w:pPr>
      <w:r>
        <w:rPr>
          <w:rFonts w:hint="eastAsia" w:ascii="楷体" w:hAnsi="楷体" w:eastAsia="楷体"/>
          <w:sz w:val="32"/>
          <w:szCs w:val="32"/>
        </w:rPr>
        <w:t>（一）关于收支情况总体说明</w:t>
      </w:r>
    </w:p>
    <w:p>
      <w:pPr>
        <w:spacing w:line="580" w:lineRule="exact"/>
        <w:ind w:firstLine="600"/>
        <w:rPr>
          <w:rFonts w:ascii="仿宋_GB2312" w:hAnsi="仿宋_GB2312"/>
          <w:sz w:val="32"/>
          <w:szCs w:val="32"/>
        </w:rPr>
      </w:pPr>
      <w:r>
        <w:rPr>
          <w:rFonts w:ascii="仿宋_GB2312" w:hAnsi="仿宋_GB2312"/>
          <w:sz w:val="32"/>
          <w:szCs w:val="32"/>
        </w:rPr>
        <w:t>本部门2019年度收入总计3,824.06万元，其中：本年收入合计3,802.11万元，用事业基金弥补收支差额0万元，年初结转和结余21.94万元；支出总计3,824.06万元，其中：结余分配0万元，年末结转和结余6.8万元。与2018年度相比，收入总计增加2,548.88万元，增长199.9%；支出总计增加2,548.88万元，增长199.9%。主要原因：农业开发办人员并入农牧局、合并前项目并入财政局</w:t>
      </w:r>
    </w:p>
    <w:p>
      <w:pPr>
        <w:spacing w:line="580" w:lineRule="exact"/>
        <w:ind w:firstLine="600"/>
        <w:rPr>
          <w:sz w:val="32"/>
          <w:szCs w:val="32"/>
        </w:rPr>
      </w:pPr>
      <w:r>
        <w:rPr>
          <w:rFonts w:hint="eastAsia" w:ascii="楷体" w:hAnsi="楷体" w:eastAsia="楷体"/>
          <w:sz w:val="32"/>
          <w:szCs w:val="32"/>
        </w:rPr>
        <w:t>（二）关于2019年度收入决算情况说明</w:t>
      </w:r>
    </w:p>
    <w:p>
      <w:pPr>
        <w:spacing w:line="580" w:lineRule="exact"/>
        <w:ind w:firstLine="600"/>
        <w:rPr>
          <w:rFonts w:ascii="仿宋_GB2312" w:hAnsi="仿宋_GB2312"/>
          <w:sz w:val="32"/>
          <w:szCs w:val="32"/>
        </w:rPr>
      </w:pPr>
      <w:r>
        <w:rPr>
          <w:rFonts w:ascii="仿宋_GB2312" w:hAnsi="仿宋_GB2312"/>
          <w:sz w:val="32"/>
          <w:szCs w:val="32"/>
        </w:rPr>
        <w:t>本部门2019年度收入合计3,802.11万元，其中：财政拨款收入3,802.11万元，占100%；事业收入0万元，占0%；经营收入0万元，占0%；其他收入0万元，占0%。</w:t>
      </w:r>
    </w:p>
    <w:p>
      <w:pPr>
        <w:spacing w:line="580" w:lineRule="exact"/>
        <w:ind w:firstLine="600"/>
        <w:rPr>
          <w:sz w:val="32"/>
          <w:szCs w:val="32"/>
        </w:rPr>
      </w:pPr>
      <w:r>
        <w:rPr>
          <w:rFonts w:hint="eastAsia" w:ascii="楷体" w:hAnsi="楷体" w:eastAsia="楷体"/>
          <w:sz w:val="32"/>
          <w:szCs w:val="32"/>
        </w:rPr>
        <w:t>（三）关于2019年度支出决算情况说明</w:t>
      </w:r>
    </w:p>
    <w:p>
      <w:pPr>
        <w:spacing w:line="580" w:lineRule="exact"/>
        <w:ind w:firstLine="600"/>
        <w:rPr>
          <w:rFonts w:ascii="仿宋_GB2312" w:hAnsi="仿宋_GB2312"/>
          <w:sz w:val="32"/>
          <w:szCs w:val="32"/>
        </w:rPr>
      </w:pPr>
      <w:r>
        <w:rPr>
          <w:rFonts w:ascii="仿宋_GB2312" w:hAnsi="仿宋_GB2312"/>
          <w:sz w:val="32"/>
          <w:szCs w:val="32"/>
        </w:rPr>
        <w:t>本部门2019年度支出合计3,817.25万元，其中：基本支出1,342.05万元，占35.2%；项目支出2,475.2万元，占64.8%；经营支出0万元，占0%。</w:t>
      </w:r>
    </w:p>
    <w:p>
      <w:pPr>
        <w:spacing w:line="580" w:lineRule="exact"/>
        <w:ind w:firstLine="600"/>
        <w:rPr>
          <w:sz w:val="32"/>
          <w:szCs w:val="32"/>
        </w:rPr>
      </w:pPr>
      <w:r>
        <w:rPr>
          <w:rFonts w:hint="eastAsia" w:ascii="楷体" w:hAnsi="楷体" w:eastAsia="楷体"/>
          <w:sz w:val="32"/>
          <w:szCs w:val="32"/>
        </w:rPr>
        <w:t>（四）关于2019年度财政拨款收入支出决算总体情况说明</w:t>
      </w:r>
    </w:p>
    <w:p>
      <w:pPr>
        <w:spacing w:line="580" w:lineRule="exact"/>
        <w:ind w:firstLine="600"/>
        <w:rPr>
          <w:rFonts w:ascii="仿宋_GB2312" w:hAnsi="仿宋_GB2312"/>
          <w:sz w:val="32"/>
          <w:szCs w:val="32"/>
        </w:rPr>
      </w:pPr>
      <w:r>
        <w:rPr>
          <w:rFonts w:ascii="仿宋_GB2312" w:hAnsi="仿宋_GB2312"/>
          <w:sz w:val="32"/>
          <w:szCs w:val="32"/>
        </w:rPr>
        <w:t>本部门2019年度财政拨款收入总计3,824.06万元，其中：年初结转和结余21.94万元；支出总计3,824.06万元，其中：年末结转和结余6.8万元。与2018年度相比，收入增加2,548.97万元，增长199.9%；支出增加2,548.97万元，增长199.9%。主要原因：农业开发办人员并入农牧局、合并前项目并入财政局</w:t>
      </w:r>
    </w:p>
    <w:p>
      <w:pPr>
        <w:spacing w:line="580" w:lineRule="exact"/>
        <w:ind w:firstLine="600"/>
        <w:rPr>
          <w:sz w:val="32"/>
          <w:szCs w:val="32"/>
        </w:rPr>
      </w:pPr>
      <w:r>
        <w:rPr>
          <w:rFonts w:hint="eastAsia" w:ascii="楷体" w:hAnsi="楷体" w:eastAsia="楷体"/>
          <w:sz w:val="32"/>
          <w:szCs w:val="32"/>
        </w:rPr>
        <w:t>（五）关于2019年度一般公共预算财政拨款支出决算情况说明</w:t>
      </w:r>
    </w:p>
    <w:p>
      <w:pPr>
        <w:spacing w:line="580" w:lineRule="exact"/>
        <w:ind w:firstLine="600"/>
        <w:rPr>
          <w:sz w:val="32"/>
          <w:szCs w:val="32"/>
        </w:rPr>
      </w:pPr>
      <w:r>
        <w:rPr>
          <w:rFonts w:ascii="仿宋_GB2312" w:hAnsi="仿宋_GB2312"/>
          <w:sz w:val="32"/>
          <w:szCs w:val="32"/>
        </w:rPr>
        <w:t>本部门2019年度一般公共预算财政拨款支出合计3,817.25元，其中：基本支出1,342.05万元，占35.2%；项目支出2,475.2万元，占64.8%。</w:t>
      </w:r>
    </w:p>
    <w:p>
      <w:pPr>
        <w:spacing w:line="580" w:lineRule="exact"/>
        <w:ind w:firstLine="600"/>
        <w:rPr>
          <w:sz w:val="32"/>
          <w:szCs w:val="32"/>
        </w:rPr>
      </w:pPr>
      <w:r>
        <w:rPr>
          <w:rFonts w:hint="eastAsia" w:ascii="楷体" w:hAnsi="楷体" w:eastAsia="楷体"/>
          <w:sz w:val="32"/>
          <w:szCs w:val="32"/>
        </w:rPr>
        <w:t>（六）关于2019年度一般公共预算财政拨款基本支出决算情况说明</w:t>
      </w:r>
    </w:p>
    <w:p>
      <w:pPr>
        <w:spacing w:line="580" w:lineRule="exact"/>
        <w:ind w:firstLine="600"/>
        <w:rPr>
          <w:rFonts w:ascii="仿宋_GB2312" w:hAnsi="仿宋_GB2312"/>
          <w:sz w:val="32"/>
          <w:szCs w:val="32"/>
        </w:rPr>
      </w:pPr>
      <w:r>
        <w:rPr>
          <w:rFonts w:ascii="仿宋_GB2312" w:hAnsi="仿宋_GB2312"/>
          <w:sz w:val="32"/>
          <w:szCs w:val="32"/>
        </w:rPr>
        <w:t>本部门2019年度一般公共预算财政拨款基本支出1,342.05万元，其中：人员经费1,018.93万元，</w:t>
      </w:r>
      <w:r>
        <w:rPr>
          <w:sz w:val="32"/>
          <w:szCs w:val="32"/>
        </w:rPr>
        <w:t>“</w:t>
      </w:r>
      <w:r>
        <w:rPr>
          <w:rFonts w:ascii="仿宋_GB2312" w:hAnsi="仿宋_GB2312"/>
          <w:sz w:val="32"/>
          <w:szCs w:val="32"/>
        </w:rPr>
        <w:t>基本工资：233.84万元，津贴补贴：314.11万元，奖金：9.4万元，其他人员工资：218万元。较上年增加183.48万元，主要原因是：2019年新增加6名事业人员，另外工资正常调整；公用经费323.11万元，主要包括：办公费：83.24万元，印刷费：19万元，维修费：27.34万元、手续费：0.2万元，差旅费：13.5万元，取暖费1.74万元，邮电费：33.7万元，水费：0.46万元，租赁费6.9万元，培训费：1.4万元，专用材料费：21.26万元，劳务费：53万元，公车运行费：17.55万元，其他交通费：20万元，较上年减少3.34万元，主要原因是：本年度下乡次数相对减少，所以公车运行费比上年减少。</w:t>
      </w:r>
    </w:p>
    <w:p>
      <w:pPr>
        <w:spacing w:line="580" w:lineRule="exact"/>
        <w:ind w:firstLine="600"/>
        <w:rPr>
          <w:sz w:val="32"/>
          <w:szCs w:val="32"/>
        </w:rPr>
      </w:pPr>
      <w:r>
        <w:rPr>
          <w:rFonts w:hint="eastAsia" w:ascii="楷体" w:hAnsi="楷体" w:eastAsia="楷体"/>
          <w:sz w:val="32"/>
          <w:szCs w:val="32"/>
        </w:rPr>
        <w:t>（七）关于2019年度财政拨款</w:t>
      </w:r>
      <w:r>
        <w:rPr>
          <w:sz w:val="32"/>
          <w:szCs w:val="32"/>
        </w:rPr>
        <w:t>“</w:t>
      </w:r>
      <w:r>
        <w:rPr>
          <w:rFonts w:hint="eastAsia" w:ascii="楷体" w:hAnsi="楷体" w:eastAsia="楷体"/>
          <w:sz w:val="32"/>
          <w:szCs w:val="32"/>
        </w:rPr>
        <w:t>三公</w:t>
      </w:r>
      <w:r>
        <w:rPr>
          <w:sz w:val="32"/>
          <w:szCs w:val="32"/>
        </w:rPr>
        <w:t>”</w:t>
      </w:r>
      <w:r>
        <w:rPr>
          <w:rFonts w:hint="eastAsia" w:ascii="楷体" w:hAnsi="楷体" w:eastAsia="楷体"/>
          <w:sz w:val="32"/>
          <w:szCs w:val="32"/>
        </w:rPr>
        <w:t>经费支出决算情况说明</w:t>
      </w:r>
    </w:p>
    <w:p>
      <w:pPr>
        <w:spacing w:line="580" w:lineRule="exact"/>
        <w:ind w:firstLine="600"/>
        <w:rPr>
          <w:sz w:val="32"/>
          <w:szCs w:val="32"/>
        </w:rPr>
      </w:pPr>
      <w:r>
        <w:rPr>
          <w:rFonts w:ascii="仿宋_GB2312" w:hAnsi="仿宋_GB2312"/>
          <w:sz w:val="32"/>
          <w:szCs w:val="32"/>
        </w:rPr>
        <w:t>1、财政拨款</w:t>
      </w:r>
      <w:r>
        <w:rPr>
          <w:sz w:val="32"/>
          <w:szCs w:val="32"/>
        </w:rPr>
        <w:t>“</w:t>
      </w:r>
      <w:r>
        <w:rPr>
          <w:rFonts w:ascii="仿宋_GB2312" w:hAnsi="仿宋_GB2312"/>
          <w:sz w:val="32"/>
          <w:szCs w:val="32"/>
        </w:rPr>
        <w:t>三公</w:t>
      </w:r>
      <w:r>
        <w:rPr>
          <w:sz w:val="32"/>
          <w:szCs w:val="32"/>
        </w:rPr>
        <w:t>”</w:t>
      </w:r>
      <w:r>
        <w:rPr>
          <w:rFonts w:ascii="仿宋_GB2312" w:hAnsi="仿宋_GB2312"/>
          <w:sz w:val="32"/>
          <w:szCs w:val="32"/>
        </w:rPr>
        <w:t>经费支出决算总体情况说明</w:t>
      </w:r>
    </w:p>
    <w:p>
      <w:pPr>
        <w:spacing w:line="580" w:lineRule="exact"/>
        <w:ind w:firstLine="600"/>
        <w:rPr>
          <w:rFonts w:ascii="仿宋_GB2312" w:hAnsi="仿宋_GB2312"/>
          <w:sz w:val="32"/>
          <w:szCs w:val="32"/>
        </w:rPr>
      </w:pPr>
      <w:r>
        <w:rPr>
          <w:rFonts w:ascii="仿宋_GB2312" w:hAnsi="仿宋_GB2312"/>
          <w:sz w:val="32"/>
          <w:szCs w:val="32"/>
        </w:rPr>
        <w:t>本部门2019年度财政拨款</w:t>
      </w:r>
      <w:r>
        <w:rPr>
          <w:sz w:val="32"/>
          <w:szCs w:val="32"/>
        </w:rPr>
        <w:t>“</w:t>
      </w:r>
      <w:r>
        <w:rPr>
          <w:rFonts w:ascii="仿宋_GB2312" w:hAnsi="仿宋_GB2312"/>
          <w:sz w:val="32"/>
          <w:szCs w:val="32"/>
        </w:rPr>
        <w:t>三公</w:t>
      </w:r>
      <w:r>
        <w:rPr>
          <w:sz w:val="32"/>
          <w:szCs w:val="32"/>
        </w:rPr>
        <w:t>”</w:t>
      </w:r>
      <w:r>
        <w:rPr>
          <w:rFonts w:ascii="仿宋_GB2312" w:hAnsi="仿宋_GB2312"/>
          <w:sz w:val="32"/>
          <w:szCs w:val="32"/>
        </w:rPr>
        <w:t>经费预算为35.3万元，支出决算为17.55万元，完成预算的49.7%，其中：因公出国（境）费预算为0万元，支出决算为0万元，完成预算的0%；公务用车购置及运行维护费预算为35万元，支出决算为17.55万元，完成预算的50.1%；公务接待费预算为0.3万元，支出决算为0万元，完成预算的0%。2019年度财政拨款</w:t>
      </w:r>
      <w:r>
        <w:rPr>
          <w:sz w:val="32"/>
          <w:szCs w:val="32"/>
        </w:rPr>
        <w:t>“</w:t>
      </w:r>
      <w:r>
        <w:rPr>
          <w:rFonts w:ascii="仿宋_GB2312" w:hAnsi="仿宋_GB2312"/>
          <w:sz w:val="32"/>
          <w:szCs w:val="32"/>
        </w:rPr>
        <w:t>三公</w:t>
      </w:r>
      <w:r>
        <w:rPr>
          <w:sz w:val="32"/>
          <w:szCs w:val="32"/>
        </w:rPr>
        <w:t>”</w:t>
      </w:r>
      <w:r>
        <w:rPr>
          <w:rFonts w:ascii="仿宋_GB2312" w:hAnsi="仿宋_GB2312"/>
          <w:sz w:val="32"/>
          <w:szCs w:val="32"/>
        </w:rPr>
        <w:t>经费支出决算与预算差异情况的原因：本年度下乡次数相对减少，所以公车运行费比上年减少。</w:t>
      </w:r>
    </w:p>
    <w:p>
      <w:pPr>
        <w:spacing w:line="580" w:lineRule="exact"/>
        <w:ind w:firstLine="600"/>
        <w:rPr>
          <w:sz w:val="32"/>
          <w:szCs w:val="32"/>
        </w:rPr>
      </w:pPr>
      <w:r>
        <w:rPr>
          <w:rFonts w:ascii="仿宋_GB2312" w:hAnsi="仿宋_GB2312"/>
          <w:sz w:val="32"/>
          <w:szCs w:val="32"/>
        </w:rPr>
        <w:t>2、财政拨款</w:t>
      </w:r>
      <w:r>
        <w:rPr>
          <w:sz w:val="32"/>
          <w:szCs w:val="32"/>
        </w:rPr>
        <w:t>“</w:t>
      </w:r>
      <w:r>
        <w:rPr>
          <w:rFonts w:ascii="仿宋_GB2312" w:hAnsi="仿宋_GB2312"/>
          <w:sz w:val="32"/>
          <w:szCs w:val="32"/>
        </w:rPr>
        <w:t>三公</w:t>
      </w:r>
      <w:r>
        <w:rPr>
          <w:sz w:val="32"/>
          <w:szCs w:val="32"/>
        </w:rPr>
        <w:t>”</w:t>
      </w:r>
      <w:r>
        <w:rPr>
          <w:rFonts w:ascii="仿宋_GB2312" w:hAnsi="仿宋_GB2312"/>
          <w:sz w:val="32"/>
          <w:szCs w:val="32"/>
        </w:rPr>
        <w:t>经费支出决算具体情况说明</w:t>
      </w:r>
    </w:p>
    <w:p>
      <w:pPr>
        <w:spacing w:line="580" w:lineRule="exact"/>
        <w:ind w:firstLine="600"/>
        <w:rPr>
          <w:sz w:val="32"/>
          <w:szCs w:val="32"/>
        </w:rPr>
      </w:pPr>
      <w:r>
        <w:rPr>
          <w:rFonts w:ascii="仿宋_GB2312" w:hAnsi="仿宋_GB2312"/>
          <w:sz w:val="32"/>
          <w:szCs w:val="32"/>
        </w:rPr>
        <w:t>本部门2019年度财政拨款</w:t>
      </w:r>
      <w:r>
        <w:rPr>
          <w:sz w:val="32"/>
          <w:szCs w:val="32"/>
        </w:rPr>
        <w:t>“</w:t>
      </w:r>
      <w:r>
        <w:rPr>
          <w:rFonts w:ascii="仿宋_GB2312" w:hAnsi="仿宋_GB2312"/>
          <w:sz w:val="32"/>
          <w:szCs w:val="32"/>
        </w:rPr>
        <w:t>三公</w:t>
      </w:r>
      <w:r>
        <w:rPr>
          <w:sz w:val="32"/>
          <w:szCs w:val="32"/>
        </w:rPr>
        <w:t>”</w:t>
      </w:r>
      <w:r>
        <w:rPr>
          <w:rFonts w:ascii="仿宋_GB2312" w:hAnsi="仿宋_GB2312"/>
          <w:sz w:val="32"/>
          <w:szCs w:val="32"/>
        </w:rPr>
        <w:t>经费支出17.55万元，因公出国（境）费支出0万元，占0%；公务用车购置及运行维护费支出17.55万元，占100%；公务接待费支出0万元，占0%。具体情况如下：</w:t>
      </w:r>
    </w:p>
    <w:p>
      <w:pPr>
        <w:spacing w:line="580" w:lineRule="exact"/>
        <w:ind w:firstLine="600"/>
        <w:rPr>
          <w:rFonts w:ascii="仿宋_GB2312" w:hAnsi="仿宋_GB2312"/>
          <w:sz w:val="32"/>
          <w:szCs w:val="32"/>
        </w:rPr>
      </w:pPr>
      <w:r>
        <w:rPr>
          <w:rFonts w:ascii="仿宋_GB2312" w:hAnsi="仿宋_GB2312"/>
          <w:b/>
          <w:bCs/>
          <w:sz w:val="32"/>
          <w:szCs w:val="32"/>
        </w:rPr>
        <w:t>因公出国（境）费支出</w:t>
      </w:r>
      <w:r>
        <w:rPr>
          <w:rFonts w:ascii="仿宋_GB2312" w:hAnsi="仿宋_GB2312"/>
          <w:sz w:val="32"/>
          <w:szCs w:val="32"/>
        </w:rPr>
        <w:t>0万元。全年因公出国（境）团组0个，累计0人次。较上年增加0万元。</w:t>
      </w:r>
    </w:p>
    <w:p>
      <w:pPr>
        <w:spacing w:line="580" w:lineRule="exact"/>
        <w:ind w:firstLine="600"/>
        <w:rPr>
          <w:sz w:val="32"/>
          <w:szCs w:val="32"/>
        </w:rPr>
      </w:pPr>
      <w:r>
        <w:rPr>
          <w:rFonts w:ascii="仿宋_GB2312" w:hAnsi="仿宋_GB2312"/>
          <w:b/>
          <w:bCs/>
          <w:sz w:val="32"/>
          <w:szCs w:val="32"/>
        </w:rPr>
        <w:t>公务用车购置及运行维护费支出</w:t>
      </w:r>
      <w:r>
        <w:rPr>
          <w:rFonts w:ascii="仿宋_GB2312" w:hAnsi="仿宋_GB2312"/>
          <w:sz w:val="32"/>
          <w:szCs w:val="32"/>
        </w:rPr>
        <w:t>17.55万元。其中：公务用车购置支出0万元，车均购置费0万元，较上年增加0万元。公务用车运行维护费支出17.55万元，车均运维费8.78万元，较上年减少1.44万元，财政拨款开支的公务用车保有量为2辆。</w:t>
      </w:r>
    </w:p>
    <w:p>
      <w:pPr>
        <w:spacing w:line="580" w:lineRule="exact"/>
        <w:ind w:firstLine="600"/>
        <w:rPr>
          <w:rFonts w:ascii="仿宋_GB2312" w:hAnsi="仿宋_GB2312"/>
          <w:sz w:val="32"/>
          <w:szCs w:val="32"/>
        </w:rPr>
      </w:pPr>
      <w:r>
        <w:rPr>
          <w:rFonts w:ascii="仿宋_GB2312" w:hAnsi="仿宋_GB2312"/>
          <w:b/>
          <w:bCs/>
          <w:sz w:val="32"/>
          <w:szCs w:val="32"/>
        </w:rPr>
        <w:t>公务接待费支出</w:t>
      </w:r>
      <w:r>
        <w:rPr>
          <w:rFonts w:ascii="仿宋_GB2312" w:hAnsi="仿宋_GB2312"/>
          <w:sz w:val="32"/>
          <w:szCs w:val="32"/>
        </w:rPr>
        <w:t>0万元。其中：国内公务接待费0万元，接待0批次，共接待0人次。国（境）外接待费0万元，接待0批次，共接待0人次。较上年增加0万元，</w:t>
      </w:r>
    </w:p>
    <w:p>
      <w:pPr>
        <w:spacing w:line="580" w:lineRule="exact"/>
        <w:ind w:firstLine="600"/>
        <w:rPr>
          <w:sz w:val="32"/>
          <w:szCs w:val="32"/>
        </w:rPr>
      </w:pPr>
      <w:r>
        <w:rPr>
          <w:rFonts w:ascii="仿宋_GB2312" w:hAnsi="仿宋_GB2312"/>
          <w:sz w:val="32"/>
          <w:szCs w:val="32"/>
        </w:rPr>
        <w:t>三、预算绩效情况说明</w:t>
      </w:r>
    </w:p>
    <w:p>
      <w:pPr>
        <w:spacing w:line="580" w:lineRule="exact"/>
        <w:ind w:firstLine="600"/>
        <w:rPr>
          <w:rFonts w:ascii="仿宋_GB2312" w:hAnsi="仿宋_GB2312"/>
          <w:sz w:val="32"/>
          <w:szCs w:val="32"/>
        </w:rPr>
      </w:pPr>
      <w:r>
        <w:rPr>
          <w:rFonts w:ascii="仿宋_GB2312" w:hAnsi="仿宋_GB2312"/>
          <w:sz w:val="32"/>
          <w:szCs w:val="32"/>
        </w:rPr>
        <w:t>（一）预算绩效管理工作开展情况</w:t>
      </w:r>
    </w:p>
    <w:p>
      <w:pPr>
        <w:spacing w:line="580" w:lineRule="exact"/>
        <w:ind w:firstLine="600"/>
        <w:rPr>
          <w:rFonts w:ascii="仿宋_GB2312" w:hAnsi="仿宋_GB2312"/>
          <w:sz w:val="32"/>
          <w:szCs w:val="32"/>
        </w:rPr>
      </w:pPr>
      <w:r>
        <w:rPr>
          <w:rFonts w:ascii="仿宋_GB2312" w:hAnsi="仿宋_GB2312"/>
          <w:sz w:val="32"/>
          <w:szCs w:val="32"/>
        </w:rPr>
        <w:t>本年度无重点项目支出，未开展绩效评价工作。</w:t>
      </w:r>
    </w:p>
    <w:p>
      <w:pPr>
        <w:spacing w:line="580" w:lineRule="exact"/>
        <w:ind w:firstLine="600"/>
        <w:rPr>
          <w:rFonts w:ascii="仿宋_GB2312" w:hAnsi="仿宋_GB2312"/>
          <w:sz w:val="32"/>
          <w:szCs w:val="32"/>
        </w:rPr>
      </w:pPr>
      <w:r>
        <w:rPr>
          <w:rFonts w:ascii="仿宋_GB2312" w:hAnsi="仿宋_GB2312"/>
          <w:sz w:val="32"/>
          <w:szCs w:val="32"/>
        </w:rPr>
        <w:t>（二）部门决算中项目绩效自评结果</w:t>
      </w:r>
    </w:p>
    <w:p>
      <w:pPr>
        <w:spacing w:line="580" w:lineRule="exact"/>
        <w:ind w:firstLine="600"/>
        <w:rPr>
          <w:rFonts w:ascii="仿宋_GB2312" w:hAnsi="仿宋_GB2312"/>
          <w:sz w:val="32"/>
          <w:szCs w:val="32"/>
        </w:rPr>
      </w:pPr>
      <w:r>
        <w:rPr>
          <w:rFonts w:ascii="仿宋_GB2312" w:hAnsi="仿宋_GB2312"/>
          <w:sz w:val="32"/>
          <w:szCs w:val="32"/>
        </w:rPr>
        <w:t>本年度无重点项目支出，未开展绩效评价工作。</w:t>
      </w:r>
    </w:p>
    <w:p>
      <w:pPr>
        <w:spacing w:line="580" w:lineRule="exact"/>
        <w:ind w:firstLine="600"/>
        <w:rPr>
          <w:sz w:val="32"/>
          <w:szCs w:val="32"/>
        </w:rPr>
      </w:pPr>
      <w:r>
        <w:rPr>
          <w:rFonts w:ascii="仿宋_GB2312" w:hAnsi="仿宋_GB2312"/>
          <w:sz w:val="32"/>
          <w:szCs w:val="32"/>
        </w:rPr>
        <w:t>四、其他重要事项的情况说明</w:t>
      </w:r>
    </w:p>
    <w:p>
      <w:pPr>
        <w:spacing w:line="580" w:lineRule="exact"/>
        <w:ind w:firstLine="600"/>
        <w:rPr>
          <w:sz w:val="32"/>
          <w:szCs w:val="32"/>
        </w:rPr>
      </w:pPr>
      <w:r>
        <w:rPr>
          <w:rFonts w:ascii="仿宋_GB2312" w:hAnsi="仿宋_GB2312"/>
          <w:sz w:val="32"/>
          <w:szCs w:val="32"/>
        </w:rPr>
        <w:t>（一）机关运行经费支出情况</w:t>
      </w:r>
    </w:p>
    <w:p>
      <w:pPr>
        <w:spacing w:line="580" w:lineRule="exact"/>
        <w:ind w:firstLine="600"/>
        <w:rPr>
          <w:rFonts w:ascii="仿宋_GB2312" w:hAnsi="仿宋_GB2312"/>
          <w:sz w:val="32"/>
          <w:szCs w:val="32"/>
        </w:rPr>
      </w:pPr>
      <w:r>
        <w:rPr>
          <w:rFonts w:ascii="仿宋_GB2312" w:hAnsi="仿宋_GB2312"/>
          <w:sz w:val="32"/>
          <w:szCs w:val="32"/>
        </w:rPr>
        <w:t>本部门2019年度机关运行经费支出323.11万元，比2018年减少3.34万元，降低1%。主要原因是：本年度下乡次数相对减少，所以公车运行费比上年减少。</w:t>
      </w:r>
    </w:p>
    <w:p>
      <w:pPr>
        <w:spacing w:line="580" w:lineRule="exact"/>
        <w:ind w:firstLine="600"/>
        <w:rPr>
          <w:rFonts w:ascii="仿宋_GB2312" w:hAnsi="仿宋_GB2312"/>
          <w:sz w:val="32"/>
          <w:szCs w:val="32"/>
        </w:rPr>
      </w:pPr>
      <w:r>
        <w:rPr>
          <w:rFonts w:ascii="仿宋_GB2312" w:hAnsi="仿宋_GB2312"/>
          <w:sz w:val="32"/>
          <w:szCs w:val="32"/>
        </w:rPr>
        <w:t>其中办公费：83.24万元，印刷费：19.06万元，维修费：27.34万元、手续费：0.2万元，差旅费：13.5万元，电费，5.62万元，取暖费1.75万元，邮电费：33.7万元，水费：0.46万元，租赁费6.93万元，培训费：1.38万元，专用材料费：21.27万元，劳务费：53.02万元，公车运行费：17.55万元，其他交通费：11.87万元，其他11.95万元。办公设备购置3.02万元，专用设备购置11.27万元。</w:t>
      </w:r>
    </w:p>
    <w:p>
      <w:pPr>
        <w:spacing w:line="580" w:lineRule="exact"/>
        <w:ind w:firstLine="600"/>
        <w:rPr>
          <w:sz w:val="32"/>
          <w:szCs w:val="32"/>
        </w:rPr>
      </w:pPr>
      <w:r>
        <w:rPr>
          <w:rFonts w:ascii="仿宋_GB2312" w:hAnsi="仿宋_GB2312"/>
          <w:sz w:val="32"/>
          <w:szCs w:val="32"/>
        </w:rPr>
        <w:t>（二）政府采购支出情况</w:t>
      </w:r>
    </w:p>
    <w:p>
      <w:pPr>
        <w:spacing w:line="580" w:lineRule="exact"/>
        <w:ind w:firstLine="600"/>
        <w:rPr>
          <w:sz w:val="32"/>
          <w:szCs w:val="32"/>
        </w:rPr>
      </w:pPr>
      <w:r>
        <w:rPr>
          <w:rFonts w:ascii="仿宋_GB2312" w:hAnsi="仿宋_GB2312"/>
          <w:sz w:val="32"/>
          <w:szCs w:val="32"/>
        </w:rPr>
        <w:t>本部门2019年度政府采购支出合计60万元，其中：政府采购货物支出0万元</w:t>
      </w:r>
      <w:r>
        <w:rPr>
          <w:sz w:val="32"/>
          <w:szCs w:val="32"/>
        </w:rPr>
        <w:t>,</w:t>
      </w:r>
      <w:r>
        <w:rPr>
          <w:rFonts w:ascii="仿宋_GB2312" w:hAnsi="仿宋_GB2312"/>
          <w:sz w:val="32"/>
          <w:szCs w:val="32"/>
        </w:rPr>
        <w:t>比2018年减少101.3万元，降低100%，主要原因是：本年度没有政府采购货物支出；政府采购工程支出0万元，比2018年减少61.03万元，减少100%，主要原因是本年度没有政府采购工程资金；政府采购服务支出60万元，比2018年增加60万元，增长100%，主要原因是：全旗零余额系统统一招标付款。授予中小企业合同金额0万元，占政府采购支出总额的0%。其中：授予小微企业合同金额0万元，占政府采购支出总额的0%。</w:t>
      </w:r>
    </w:p>
    <w:p>
      <w:pPr>
        <w:spacing w:line="580" w:lineRule="exact"/>
        <w:ind w:firstLine="600"/>
        <w:rPr>
          <w:sz w:val="32"/>
          <w:szCs w:val="32"/>
        </w:rPr>
      </w:pPr>
      <w:r>
        <w:rPr>
          <w:rFonts w:ascii="仿宋_GB2312" w:hAnsi="仿宋_GB2312"/>
          <w:sz w:val="32"/>
          <w:szCs w:val="32"/>
        </w:rPr>
        <w:t>（三）国有资产占用情况</w:t>
      </w:r>
    </w:p>
    <w:p>
      <w:pPr>
        <w:spacing w:line="580" w:lineRule="exact"/>
        <w:ind w:firstLine="600"/>
        <w:rPr>
          <w:sz w:val="32"/>
          <w:szCs w:val="32"/>
        </w:rPr>
      </w:pPr>
      <w:r>
        <w:rPr>
          <w:rFonts w:ascii="仿宋_GB2312" w:hAnsi="仿宋_GB2312"/>
          <w:sz w:val="32"/>
          <w:szCs w:val="32"/>
        </w:rPr>
        <w:t>截至2019年12月31日，本部门共有车辆2辆，其中，副部（省）级及以上领导用车0辆</w:t>
      </w:r>
      <w:r>
        <w:rPr>
          <w:sz w:val="32"/>
          <w:szCs w:val="32"/>
        </w:rPr>
        <w:t>,</w:t>
      </w:r>
      <w:r>
        <w:rPr>
          <w:rFonts w:ascii="仿宋_GB2312" w:hAnsi="仿宋_GB2312"/>
          <w:sz w:val="32"/>
          <w:szCs w:val="32"/>
        </w:rPr>
        <w:t>主要领导干部用车0辆，机要通信用车0辆；应急保障用车0辆;执法执勤用车0辆；特种专业技术用车0辆</w:t>
      </w:r>
      <w:r>
        <w:rPr>
          <w:sz w:val="32"/>
          <w:szCs w:val="32"/>
        </w:rPr>
        <w:t>,</w:t>
      </w:r>
      <w:r>
        <w:rPr>
          <w:rFonts w:ascii="仿宋_GB2312" w:hAnsi="仿宋_GB2312"/>
          <w:sz w:val="32"/>
          <w:szCs w:val="32"/>
        </w:rPr>
        <w:t>离退休干部用车0辆</w:t>
      </w:r>
      <w:r>
        <w:rPr>
          <w:rFonts w:hint="eastAsia" w:ascii="宋体" w:hAnsi="宋体"/>
          <w:sz w:val="32"/>
          <w:szCs w:val="32"/>
        </w:rPr>
        <w:t>；</w:t>
      </w:r>
      <w:r>
        <w:rPr>
          <w:rFonts w:ascii="仿宋_GB2312" w:hAnsi="仿宋_GB2312"/>
          <w:sz w:val="32"/>
          <w:szCs w:val="32"/>
        </w:rPr>
        <w:t>其他用车2辆，主要是用于日常工作、下乡等。单位价值50万元以上通用设备2台，比2018年增加2台，主要原因是增加财务服务器以及国库集中支付电子化系统;单位价值100万元以上专用设备0台。</w:t>
      </w:r>
    </w:p>
    <w:p>
      <w:pPr>
        <w:spacing w:line="580" w:lineRule="exact"/>
        <w:ind w:firstLine="600"/>
        <w:rPr>
          <w:b/>
          <w:bCs/>
          <w:sz w:val="32"/>
          <w:szCs w:val="32"/>
        </w:rPr>
      </w:pPr>
      <w:r>
        <w:rPr>
          <w:rFonts w:ascii="仿宋_GB2312" w:hAnsi="仿宋_GB2312"/>
          <w:b/>
          <w:bCs/>
          <w:sz w:val="32"/>
          <w:szCs w:val="32"/>
        </w:rPr>
        <w:t>第三部分 名词解释</w:t>
      </w:r>
    </w:p>
    <w:p>
      <w:pPr>
        <w:spacing w:line="580" w:lineRule="exact"/>
        <w:ind w:firstLine="600"/>
        <w:rPr>
          <w:sz w:val="32"/>
          <w:szCs w:val="32"/>
        </w:rPr>
      </w:pPr>
      <w:r>
        <w:rPr>
          <w:rFonts w:ascii="仿宋_GB2312" w:hAnsi="仿宋_GB2312"/>
          <w:sz w:val="32"/>
          <w:szCs w:val="32"/>
        </w:rPr>
        <w:t>（一）财政拨款收入：指本年度从本级财政部门取得的财政拨款，包括一般公共预算财政拨款和政府性基金预算财政拨款。</w:t>
      </w:r>
    </w:p>
    <w:p>
      <w:pPr>
        <w:spacing w:line="580" w:lineRule="exact"/>
        <w:ind w:firstLine="600"/>
        <w:rPr>
          <w:sz w:val="32"/>
          <w:szCs w:val="32"/>
        </w:rPr>
      </w:pPr>
      <w:r>
        <w:rPr>
          <w:rFonts w:ascii="仿宋_GB2312" w:hAnsi="仿宋_GB2312"/>
          <w:sz w:val="32"/>
          <w:szCs w:val="32"/>
        </w:rPr>
        <w:t>（二）事业收入：指事业单位开展专业业务活动及其辅助活动取得的收入；事业单位收到的财政专户实际核拨的教育收费等资金。</w:t>
      </w:r>
    </w:p>
    <w:p>
      <w:pPr>
        <w:spacing w:line="580" w:lineRule="exact"/>
        <w:ind w:firstLine="600"/>
        <w:rPr>
          <w:sz w:val="32"/>
          <w:szCs w:val="32"/>
        </w:rPr>
      </w:pPr>
      <w:r>
        <w:rPr>
          <w:rFonts w:ascii="仿宋_GB2312" w:hAnsi="仿宋_GB2312"/>
          <w:sz w:val="32"/>
          <w:szCs w:val="32"/>
        </w:rPr>
        <w:t>（三）经营收入：指事业单位在专业业务活动及其辅助活动之外开展非独立核算经营活动取得的收入。</w:t>
      </w:r>
    </w:p>
    <w:p>
      <w:pPr>
        <w:spacing w:line="580" w:lineRule="exact"/>
        <w:ind w:firstLine="600"/>
        <w:rPr>
          <w:sz w:val="32"/>
          <w:szCs w:val="32"/>
        </w:rPr>
      </w:pPr>
      <w:r>
        <w:rPr>
          <w:rFonts w:ascii="仿宋_GB2312" w:hAnsi="仿宋_GB2312"/>
          <w:sz w:val="32"/>
          <w:szCs w:val="32"/>
        </w:rPr>
        <w:t>（四）其他收入：指单位取得的除上述收入以外的各项收入，包括未纳入财政预算的投资收益、银行存款利息收入、租金收入、捐赠收入、事业单位固定资产出租收入等。各单位从本级财政部门以外的同级单位取得的经费、从非本级财政部门取得的经费，以及行政单位收到的财政专户管理资金。</w:t>
      </w:r>
    </w:p>
    <w:p>
      <w:pPr>
        <w:spacing w:line="580" w:lineRule="exact"/>
        <w:ind w:firstLine="600"/>
        <w:rPr>
          <w:sz w:val="32"/>
          <w:szCs w:val="32"/>
        </w:rPr>
      </w:pPr>
      <w:r>
        <w:rPr>
          <w:rFonts w:ascii="仿宋_GB2312" w:hAnsi="仿宋_GB2312"/>
          <w:sz w:val="32"/>
          <w:szCs w:val="32"/>
        </w:rPr>
        <w:t>（五）用事业基金弥补收支差额：指事业单位在当年的“财政拨款收入”、“财政拨款结转和结余资金”、“事业收入”、“事业单位经营收入”、“其他收入”不足以安排当年支出的情况下，使用以前年度累积的事业基金（当年收支相抵后按国家规定提取、用于弥补以后年度收支差额的基金）弥补本年收支缺口的资金。</w:t>
      </w:r>
    </w:p>
    <w:p>
      <w:pPr>
        <w:spacing w:line="580" w:lineRule="exact"/>
        <w:ind w:firstLine="600"/>
        <w:rPr>
          <w:sz w:val="32"/>
          <w:szCs w:val="32"/>
        </w:rPr>
      </w:pPr>
      <w:r>
        <w:rPr>
          <w:rFonts w:ascii="仿宋_GB2312" w:hAnsi="仿宋_GB2312"/>
          <w:sz w:val="32"/>
          <w:szCs w:val="32"/>
        </w:rPr>
        <w:t>（六）年初结转和结余：</w:t>
      </w:r>
      <w:r>
        <w:rPr>
          <w:rFonts w:ascii="仿宋_GB2312" w:hAnsi="仿宋_GB2312"/>
          <w:sz w:val="32"/>
          <w:szCs w:val="32"/>
          <w:highlight w:val="white"/>
        </w:rPr>
        <w:t>指以前年度支出预算因客观条件变化未执行完毕、结转到本年度按有关规定继续使用的资金。</w:t>
      </w:r>
    </w:p>
    <w:p>
      <w:pPr>
        <w:spacing w:line="580" w:lineRule="exact"/>
        <w:ind w:firstLine="600"/>
        <w:rPr>
          <w:sz w:val="32"/>
          <w:szCs w:val="32"/>
        </w:rPr>
      </w:pPr>
      <w:r>
        <w:rPr>
          <w:rFonts w:ascii="仿宋_GB2312" w:hAnsi="仿宋_GB2312"/>
          <w:sz w:val="32"/>
          <w:szCs w:val="32"/>
        </w:rPr>
        <w:t>（七）结余分配</w:t>
      </w:r>
      <w:r>
        <w:rPr>
          <w:rFonts w:ascii="仿宋_GB2312" w:hAnsi="仿宋_GB2312"/>
          <w:sz w:val="32"/>
          <w:szCs w:val="32"/>
          <w:highlight w:val="white"/>
        </w:rPr>
        <w:t>：指事业单位按照会计制度规定缴纳的所得税以及从非财政拨款结余中提取的职工福利基金、事业基金等。</w:t>
      </w:r>
    </w:p>
    <w:p>
      <w:pPr>
        <w:spacing w:line="580" w:lineRule="exact"/>
        <w:ind w:firstLine="600"/>
        <w:rPr>
          <w:sz w:val="32"/>
          <w:szCs w:val="32"/>
        </w:rPr>
      </w:pPr>
      <w:r>
        <w:rPr>
          <w:rFonts w:ascii="仿宋_GB2312" w:hAnsi="仿宋_GB2312"/>
          <w:sz w:val="32"/>
          <w:szCs w:val="32"/>
        </w:rPr>
        <w:t>（八）年末结转和结余</w:t>
      </w:r>
      <w:r>
        <w:rPr>
          <w:rFonts w:ascii="仿宋_GB2312" w:hAnsi="仿宋_GB2312"/>
          <w:sz w:val="32"/>
          <w:szCs w:val="32"/>
          <w:highlight w:val="white"/>
        </w:rPr>
        <w:t>：指单位本年度或以前年度预算安排、因客观条件发生变化未全部执行或未执行，结转到以后年度继续使用的资金，或项目已完成等产生的结余资金。</w:t>
      </w:r>
    </w:p>
    <w:p>
      <w:pPr>
        <w:spacing w:line="580" w:lineRule="exact"/>
        <w:ind w:firstLine="600"/>
        <w:rPr>
          <w:sz w:val="32"/>
          <w:szCs w:val="32"/>
        </w:rPr>
      </w:pPr>
      <w:r>
        <w:rPr>
          <w:rFonts w:ascii="仿宋_GB2312" w:hAnsi="仿宋_GB2312"/>
          <w:sz w:val="32"/>
          <w:szCs w:val="32"/>
        </w:rPr>
        <w:t>（九）基本支出：指为保障机构正常运转、完成日常工作任务而发生的人员经费和公用经费。其中：人员经费指政府收支分类经济科目中的</w:t>
      </w:r>
      <w:r>
        <w:rPr>
          <w:sz w:val="32"/>
          <w:szCs w:val="32"/>
        </w:rPr>
        <w:t>“</w:t>
      </w:r>
      <w:r>
        <w:rPr>
          <w:rFonts w:ascii="仿宋_GB2312" w:hAnsi="仿宋_GB2312"/>
          <w:sz w:val="32"/>
          <w:szCs w:val="32"/>
        </w:rPr>
        <w:t>工资福利支出</w:t>
      </w:r>
      <w:r>
        <w:rPr>
          <w:sz w:val="32"/>
          <w:szCs w:val="32"/>
        </w:rPr>
        <w:t>”</w:t>
      </w:r>
      <w:r>
        <w:rPr>
          <w:rFonts w:ascii="仿宋_GB2312" w:hAnsi="仿宋_GB2312"/>
          <w:sz w:val="32"/>
          <w:szCs w:val="32"/>
        </w:rPr>
        <w:t>和</w:t>
      </w:r>
      <w:r>
        <w:rPr>
          <w:sz w:val="32"/>
          <w:szCs w:val="32"/>
        </w:rPr>
        <w:t>“</w:t>
      </w:r>
      <w:r>
        <w:rPr>
          <w:rFonts w:ascii="仿宋_GB2312" w:hAnsi="仿宋_GB2312"/>
          <w:sz w:val="32"/>
          <w:szCs w:val="32"/>
        </w:rPr>
        <w:t>对个人和家庭的补助</w:t>
      </w:r>
      <w:r>
        <w:rPr>
          <w:sz w:val="32"/>
          <w:szCs w:val="32"/>
        </w:rPr>
        <w:t>”</w:t>
      </w:r>
      <w:r>
        <w:rPr>
          <w:rFonts w:ascii="仿宋_GB2312" w:hAnsi="仿宋_GB2312"/>
          <w:sz w:val="32"/>
          <w:szCs w:val="32"/>
        </w:rPr>
        <w:t>；公用经费指政府收支分类经济科目中除</w:t>
      </w:r>
      <w:r>
        <w:rPr>
          <w:sz w:val="32"/>
          <w:szCs w:val="32"/>
        </w:rPr>
        <w:t>“</w:t>
      </w:r>
      <w:r>
        <w:rPr>
          <w:rFonts w:ascii="仿宋_GB2312" w:hAnsi="仿宋_GB2312"/>
          <w:sz w:val="32"/>
          <w:szCs w:val="32"/>
        </w:rPr>
        <w:t>工资福利支出</w:t>
      </w:r>
      <w:r>
        <w:rPr>
          <w:sz w:val="32"/>
          <w:szCs w:val="32"/>
        </w:rPr>
        <w:t>”</w:t>
      </w:r>
      <w:r>
        <w:rPr>
          <w:rFonts w:ascii="仿宋_GB2312" w:hAnsi="仿宋_GB2312"/>
          <w:sz w:val="32"/>
          <w:szCs w:val="32"/>
        </w:rPr>
        <w:t>和</w:t>
      </w:r>
      <w:r>
        <w:rPr>
          <w:sz w:val="32"/>
          <w:szCs w:val="32"/>
        </w:rPr>
        <w:t>“</w:t>
      </w:r>
      <w:r>
        <w:rPr>
          <w:rFonts w:ascii="仿宋_GB2312" w:hAnsi="仿宋_GB2312"/>
          <w:sz w:val="32"/>
          <w:szCs w:val="32"/>
        </w:rPr>
        <w:t>对个人和家庭的补助</w:t>
      </w:r>
      <w:r>
        <w:rPr>
          <w:sz w:val="32"/>
          <w:szCs w:val="32"/>
        </w:rPr>
        <w:t>”</w:t>
      </w:r>
      <w:r>
        <w:rPr>
          <w:rFonts w:ascii="仿宋_GB2312" w:hAnsi="仿宋_GB2312"/>
          <w:sz w:val="32"/>
          <w:szCs w:val="32"/>
        </w:rPr>
        <w:t>外的其他支出。</w:t>
      </w:r>
    </w:p>
    <w:p>
      <w:pPr>
        <w:spacing w:line="580" w:lineRule="exact"/>
        <w:ind w:firstLine="600"/>
        <w:rPr>
          <w:sz w:val="32"/>
          <w:szCs w:val="32"/>
        </w:rPr>
      </w:pPr>
      <w:r>
        <w:rPr>
          <w:rFonts w:ascii="仿宋_GB2312" w:hAnsi="仿宋_GB2312"/>
          <w:sz w:val="32"/>
          <w:szCs w:val="32"/>
        </w:rPr>
        <w:t>（十）项目支出：指在基本支出之外为完成特定任务和事业发展目标所发生的支出。</w:t>
      </w:r>
    </w:p>
    <w:p>
      <w:pPr>
        <w:spacing w:line="580" w:lineRule="exact"/>
        <w:ind w:firstLine="600"/>
        <w:rPr>
          <w:sz w:val="32"/>
          <w:szCs w:val="32"/>
        </w:rPr>
      </w:pPr>
      <w:r>
        <w:rPr>
          <w:rFonts w:ascii="仿宋_GB2312" w:hAnsi="仿宋_GB2312"/>
          <w:sz w:val="32"/>
          <w:szCs w:val="32"/>
        </w:rPr>
        <w:t>（十一）经营支出：指事业单位在专业业务活动及其辅助活动之外开展非独立核算经营活动发生的支出。</w:t>
      </w:r>
    </w:p>
    <w:p>
      <w:pPr>
        <w:spacing w:line="580" w:lineRule="exact"/>
        <w:ind w:firstLine="600"/>
        <w:rPr>
          <w:sz w:val="32"/>
          <w:szCs w:val="32"/>
        </w:rPr>
      </w:pPr>
      <w:r>
        <w:rPr>
          <w:rFonts w:ascii="仿宋_GB2312" w:hAnsi="仿宋_GB2312"/>
          <w:sz w:val="32"/>
          <w:szCs w:val="32"/>
        </w:rPr>
        <w:t>（十二）</w:t>
      </w:r>
      <w:r>
        <w:rPr>
          <w:sz w:val="32"/>
          <w:szCs w:val="32"/>
        </w:rPr>
        <w:t>“</w:t>
      </w:r>
      <w:r>
        <w:rPr>
          <w:rFonts w:ascii="仿宋_GB2312" w:hAnsi="仿宋_GB2312"/>
          <w:sz w:val="32"/>
          <w:szCs w:val="32"/>
        </w:rPr>
        <w:t>三公</w:t>
      </w:r>
      <w:r>
        <w:rPr>
          <w:sz w:val="32"/>
          <w:szCs w:val="32"/>
        </w:rPr>
        <w:t>”</w:t>
      </w:r>
      <w:r>
        <w:rPr>
          <w:rFonts w:ascii="仿宋_GB2312" w:hAnsi="仿宋_GB2312"/>
          <w:sz w:val="32"/>
          <w:szCs w:val="32"/>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80" w:lineRule="exact"/>
        <w:ind w:firstLine="600"/>
        <w:rPr>
          <w:sz w:val="32"/>
          <w:szCs w:val="32"/>
        </w:rPr>
      </w:pPr>
      <w:r>
        <w:rPr>
          <w:rFonts w:ascii="仿宋_GB2312" w:hAnsi="仿宋_GB2312"/>
          <w:sz w:val="32"/>
          <w:szCs w:val="32"/>
        </w:rPr>
        <w:t>（十三）机关运行经费：指行政单位和参照公务员法管理的事业单位使用一般公共预算财政拨款安排的基本支出中的日常公用经费支出。未包含行政单位或参照公务员法管理事业单位的部门，参照此口径公开本部门的日常公用经费，并与预算公开保持一致。</w:t>
      </w:r>
    </w:p>
    <w:p>
      <w:pPr>
        <w:spacing w:line="580" w:lineRule="exact"/>
        <w:ind w:firstLine="600"/>
        <w:rPr>
          <w:sz w:val="32"/>
          <w:szCs w:val="32"/>
        </w:rPr>
      </w:pPr>
      <w:r>
        <w:rPr>
          <w:rFonts w:ascii="仿宋_GB2312" w:hAnsi="仿宋_GB2312"/>
          <w:sz w:val="32"/>
          <w:szCs w:val="32"/>
        </w:rPr>
        <w:t>（十四）工资福利支出（支出经济分类科目类级）：反映单位开支的在职职工和编制外长期聘用人员的各类劳动报酬，以及为上述人员缴纳的各项社会保险费等。</w:t>
      </w:r>
    </w:p>
    <w:p>
      <w:pPr>
        <w:spacing w:line="580" w:lineRule="exact"/>
        <w:ind w:firstLine="600"/>
        <w:rPr>
          <w:sz w:val="32"/>
          <w:szCs w:val="32"/>
        </w:rPr>
      </w:pPr>
      <w:r>
        <w:rPr>
          <w:rFonts w:ascii="仿宋_GB2312" w:hAnsi="仿宋_GB2312"/>
          <w:sz w:val="32"/>
          <w:szCs w:val="32"/>
        </w:rPr>
        <w:t>（十五）商品和服务支出（支出经济分类科目类级）：反映单位购买商品和服务的支出（不包括用于购置固定资产的支出、战略性和应急储备支出）。</w:t>
      </w:r>
    </w:p>
    <w:p>
      <w:pPr>
        <w:spacing w:line="580" w:lineRule="exact"/>
        <w:ind w:firstLine="600"/>
        <w:rPr>
          <w:sz w:val="32"/>
          <w:szCs w:val="32"/>
        </w:rPr>
      </w:pPr>
      <w:r>
        <w:rPr>
          <w:rFonts w:ascii="仿宋_GB2312" w:hAnsi="仿宋_GB2312"/>
          <w:sz w:val="32"/>
          <w:szCs w:val="32"/>
        </w:rPr>
        <w:t>（十六）对个人和家庭的补助（支出经济分类科目类级）：反映用于对个人和家庭的补助支出。</w:t>
      </w:r>
    </w:p>
    <w:p>
      <w:pPr>
        <w:spacing w:line="580" w:lineRule="exact"/>
        <w:ind w:firstLine="600"/>
        <w:rPr>
          <w:sz w:val="32"/>
          <w:szCs w:val="32"/>
        </w:rPr>
      </w:pPr>
      <w:r>
        <w:rPr>
          <w:rFonts w:ascii="仿宋_GB2312" w:hAnsi="仿宋_GB2312"/>
          <w:sz w:val="32"/>
          <w:szCs w:val="32"/>
        </w:rPr>
        <w:t>（十七）资本性支出（支出经济分类科目类级）：反映非各级发展与改革部门集中安排的用于购置固定资产、战略性和应急性储备、土地和无形资产，以及构建基础设施、大型修缮和财政支持企业更新改造所发生的支出。</w:t>
      </w:r>
    </w:p>
    <w:p>
      <w:pPr>
        <w:spacing w:line="580" w:lineRule="exact"/>
        <w:ind w:firstLine="600"/>
        <w:rPr>
          <w:sz w:val="32"/>
          <w:szCs w:val="32"/>
        </w:rPr>
      </w:pPr>
      <w:r>
        <w:rPr>
          <w:sz w:val="32"/>
          <w:szCs w:val="32"/>
        </w:rPr>
        <w:t xml:space="preserve"> </w:t>
      </w:r>
    </w:p>
    <w:p>
      <w:pPr>
        <w:spacing w:line="580" w:lineRule="exact"/>
        <w:ind w:firstLine="600"/>
        <w:rPr>
          <w:b/>
          <w:bCs/>
          <w:sz w:val="32"/>
          <w:szCs w:val="32"/>
        </w:rPr>
      </w:pPr>
      <w:r>
        <w:rPr>
          <w:rFonts w:ascii="仿宋_GB2312" w:hAnsi="仿宋_GB2312"/>
          <w:b/>
          <w:bCs/>
          <w:sz w:val="32"/>
          <w:szCs w:val="32"/>
        </w:rPr>
        <w:t>第四部分 决算公开联系方式及信息反馈渠道</w:t>
      </w:r>
    </w:p>
    <w:p>
      <w:pPr>
        <w:spacing w:line="580" w:lineRule="exact"/>
        <w:ind w:firstLine="600"/>
        <w:rPr>
          <w:sz w:val="32"/>
          <w:szCs w:val="32"/>
        </w:rPr>
      </w:pPr>
      <w:r>
        <w:rPr>
          <w:rFonts w:ascii="仿宋_GB2312" w:hAnsi="仿宋_GB2312"/>
          <w:sz w:val="32"/>
          <w:szCs w:val="32"/>
        </w:rPr>
        <w:t>本单位决算公开信息反馈和联系方式：</w:t>
      </w:r>
    </w:p>
    <w:p>
      <w:pPr>
        <w:spacing w:line="580" w:lineRule="exact"/>
        <w:ind w:firstLine="600"/>
        <w:rPr>
          <w:kern w:val="0"/>
          <w:sz w:val="18"/>
          <w:szCs w:val="18"/>
        </w:rPr>
      </w:pPr>
      <w:r>
        <w:rPr>
          <w:rFonts w:ascii="仿宋_GB2312" w:hAnsi="仿宋_GB2312"/>
          <w:sz w:val="32"/>
          <w:szCs w:val="32"/>
        </w:rPr>
        <w:t>联系人：刘俊杰    联系电话：0475</w:t>
      </w:r>
      <w:r>
        <w:rPr>
          <w:sz w:val="32"/>
          <w:szCs w:val="32"/>
        </w:rPr>
        <w:t>-</w:t>
      </w:r>
      <w:r>
        <w:rPr>
          <w:rFonts w:ascii="仿宋_GB2312" w:hAnsi="仿宋_GB2312"/>
          <w:sz w:val="32"/>
          <w:szCs w:val="32"/>
        </w:rPr>
        <w:t>3212024</w:t>
      </w:r>
    </w:p>
    <w:p>
      <w:pPr>
        <w:jc w:val="left"/>
        <w:rPr>
          <w:b/>
          <w:bCs/>
          <w:sz w:val="36"/>
          <w:szCs w:val="36"/>
        </w:rPr>
      </w:pPr>
      <w:r>
        <w:rPr>
          <w:b/>
          <w:bCs/>
          <w:sz w:val="36"/>
          <w:szCs w:val="36"/>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B3"/>
    <w:rsid w:val="00003174"/>
    <w:rsid w:val="0000428B"/>
    <w:rsid w:val="000243F3"/>
    <w:rsid w:val="00027186"/>
    <w:rsid w:val="0003278A"/>
    <w:rsid w:val="00036CD1"/>
    <w:rsid w:val="000453CD"/>
    <w:rsid w:val="0006598A"/>
    <w:rsid w:val="00067939"/>
    <w:rsid w:val="00070F73"/>
    <w:rsid w:val="00071694"/>
    <w:rsid w:val="000816D7"/>
    <w:rsid w:val="00084B7B"/>
    <w:rsid w:val="00087209"/>
    <w:rsid w:val="000A0960"/>
    <w:rsid w:val="000F2D87"/>
    <w:rsid w:val="000F48B3"/>
    <w:rsid w:val="001051CE"/>
    <w:rsid w:val="001616C8"/>
    <w:rsid w:val="00162E88"/>
    <w:rsid w:val="00170283"/>
    <w:rsid w:val="00174963"/>
    <w:rsid w:val="00177ADE"/>
    <w:rsid w:val="001859AD"/>
    <w:rsid w:val="001B3760"/>
    <w:rsid w:val="001C3E25"/>
    <w:rsid w:val="001D4812"/>
    <w:rsid w:val="001D5452"/>
    <w:rsid w:val="001E64BA"/>
    <w:rsid w:val="0022038B"/>
    <w:rsid w:val="00251E98"/>
    <w:rsid w:val="00262C64"/>
    <w:rsid w:val="002713E5"/>
    <w:rsid w:val="0027181C"/>
    <w:rsid w:val="002767A5"/>
    <w:rsid w:val="002936A0"/>
    <w:rsid w:val="00295938"/>
    <w:rsid w:val="002A1C8D"/>
    <w:rsid w:val="002A2F2E"/>
    <w:rsid w:val="002B0CE7"/>
    <w:rsid w:val="002C2D11"/>
    <w:rsid w:val="002D680A"/>
    <w:rsid w:val="002E1CEF"/>
    <w:rsid w:val="002E2FA1"/>
    <w:rsid w:val="002E51A2"/>
    <w:rsid w:val="002F6257"/>
    <w:rsid w:val="003070C8"/>
    <w:rsid w:val="00316F35"/>
    <w:rsid w:val="00350BF3"/>
    <w:rsid w:val="003554F9"/>
    <w:rsid w:val="00371726"/>
    <w:rsid w:val="00376868"/>
    <w:rsid w:val="003837F6"/>
    <w:rsid w:val="00383947"/>
    <w:rsid w:val="00387A45"/>
    <w:rsid w:val="00397A3C"/>
    <w:rsid w:val="003B1CD1"/>
    <w:rsid w:val="003B3192"/>
    <w:rsid w:val="003B6278"/>
    <w:rsid w:val="003B78F2"/>
    <w:rsid w:val="003D6C38"/>
    <w:rsid w:val="003F34B4"/>
    <w:rsid w:val="003F744C"/>
    <w:rsid w:val="00425790"/>
    <w:rsid w:val="00426185"/>
    <w:rsid w:val="004339C3"/>
    <w:rsid w:val="0049367B"/>
    <w:rsid w:val="004C2BC6"/>
    <w:rsid w:val="004C6D77"/>
    <w:rsid w:val="004F6A98"/>
    <w:rsid w:val="005028BD"/>
    <w:rsid w:val="005361D6"/>
    <w:rsid w:val="00550FEC"/>
    <w:rsid w:val="005820EC"/>
    <w:rsid w:val="005A6721"/>
    <w:rsid w:val="005B0DA8"/>
    <w:rsid w:val="005C3E6E"/>
    <w:rsid w:val="005D3FF3"/>
    <w:rsid w:val="005E6CA7"/>
    <w:rsid w:val="005F2F27"/>
    <w:rsid w:val="005F6F21"/>
    <w:rsid w:val="006001FE"/>
    <w:rsid w:val="00635F5B"/>
    <w:rsid w:val="00645882"/>
    <w:rsid w:val="006A0560"/>
    <w:rsid w:val="006A05DE"/>
    <w:rsid w:val="006A1E1B"/>
    <w:rsid w:val="006A57D3"/>
    <w:rsid w:val="006A67B4"/>
    <w:rsid w:val="006C2877"/>
    <w:rsid w:val="006D2B3A"/>
    <w:rsid w:val="006E0112"/>
    <w:rsid w:val="006E1E29"/>
    <w:rsid w:val="0071139C"/>
    <w:rsid w:val="0072412C"/>
    <w:rsid w:val="007D596C"/>
    <w:rsid w:val="007D7638"/>
    <w:rsid w:val="007E663F"/>
    <w:rsid w:val="007F3F9A"/>
    <w:rsid w:val="007F4351"/>
    <w:rsid w:val="00802A06"/>
    <w:rsid w:val="00806E7E"/>
    <w:rsid w:val="0081557C"/>
    <w:rsid w:val="008249C2"/>
    <w:rsid w:val="0085634E"/>
    <w:rsid w:val="00881C7E"/>
    <w:rsid w:val="008A7635"/>
    <w:rsid w:val="008B2491"/>
    <w:rsid w:val="008F3956"/>
    <w:rsid w:val="00902C49"/>
    <w:rsid w:val="0090720B"/>
    <w:rsid w:val="00907A3D"/>
    <w:rsid w:val="00912BD5"/>
    <w:rsid w:val="00913023"/>
    <w:rsid w:val="009132CB"/>
    <w:rsid w:val="0091572D"/>
    <w:rsid w:val="0092708C"/>
    <w:rsid w:val="00936478"/>
    <w:rsid w:val="00957F31"/>
    <w:rsid w:val="00975F3F"/>
    <w:rsid w:val="0098692E"/>
    <w:rsid w:val="00992DD9"/>
    <w:rsid w:val="009B4D3D"/>
    <w:rsid w:val="009C115F"/>
    <w:rsid w:val="009D2DC5"/>
    <w:rsid w:val="009E12E7"/>
    <w:rsid w:val="009E182C"/>
    <w:rsid w:val="009F47E0"/>
    <w:rsid w:val="00A01288"/>
    <w:rsid w:val="00A01F57"/>
    <w:rsid w:val="00A210CD"/>
    <w:rsid w:val="00A22BC6"/>
    <w:rsid w:val="00A32329"/>
    <w:rsid w:val="00A32CB0"/>
    <w:rsid w:val="00A726AD"/>
    <w:rsid w:val="00A7710E"/>
    <w:rsid w:val="00A8358F"/>
    <w:rsid w:val="00A8361C"/>
    <w:rsid w:val="00AA5E6B"/>
    <w:rsid w:val="00AB50B8"/>
    <w:rsid w:val="00AC5C62"/>
    <w:rsid w:val="00AD2693"/>
    <w:rsid w:val="00AE47AD"/>
    <w:rsid w:val="00AF7E12"/>
    <w:rsid w:val="00B14D12"/>
    <w:rsid w:val="00B23C48"/>
    <w:rsid w:val="00B2490F"/>
    <w:rsid w:val="00B2509A"/>
    <w:rsid w:val="00B3382F"/>
    <w:rsid w:val="00B422EA"/>
    <w:rsid w:val="00B430D8"/>
    <w:rsid w:val="00B53751"/>
    <w:rsid w:val="00B563E9"/>
    <w:rsid w:val="00B823A1"/>
    <w:rsid w:val="00B877F4"/>
    <w:rsid w:val="00BA23C5"/>
    <w:rsid w:val="00BB5B27"/>
    <w:rsid w:val="00BC7E9C"/>
    <w:rsid w:val="00C0378D"/>
    <w:rsid w:val="00C05E3F"/>
    <w:rsid w:val="00C126BA"/>
    <w:rsid w:val="00C25E83"/>
    <w:rsid w:val="00C30F60"/>
    <w:rsid w:val="00C3779F"/>
    <w:rsid w:val="00C463AF"/>
    <w:rsid w:val="00C703B0"/>
    <w:rsid w:val="00C7345B"/>
    <w:rsid w:val="00C7475E"/>
    <w:rsid w:val="00C7751D"/>
    <w:rsid w:val="00CA1D47"/>
    <w:rsid w:val="00CE46B3"/>
    <w:rsid w:val="00D14962"/>
    <w:rsid w:val="00D153F1"/>
    <w:rsid w:val="00D23352"/>
    <w:rsid w:val="00D264C8"/>
    <w:rsid w:val="00D42056"/>
    <w:rsid w:val="00D610B7"/>
    <w:rsid w:val="00D82D15"/>
    <w:rsid w:val="00D832DA"/>
    <w:rsid w:val="00DB2251"/>
    <w:rsid w:val="00DC08F8"/>
    <w:rsid w:val="00DD2481"/>
    <w:rsid w:val="00DE410B"/>
    <w:rsid w:val="00E31478"/>
    <w:rsid w:val="00E51D6D"/>
    <w:rsid w:val="00E56409"/>
    <w:rsid w:val="00E72177"/>
    <w:rsid w:val="00EB26C8"/>
    <w:rsid w:val="00EC3277"/>
    <w:rsid w:val="00ED3F60"/>
    <w:rsid w:val="00EE262E"/>
    <w:rsid w:val="00EE5C44"/>
    <w:rsid w:val="00EF5F9D"/>
    <w:rsid w:val="00F12CF5"/>
    <w:rsid w:val="00F160B3"/>
    <w:rsid w:val="00F51388"/>
    <w:rsid w:val="00F57AAD"/>
    <w:rsid w:val="00F91FA6"/>
    <w:rsid w:val="00F96247"/>
    <w:rsid w:val="00FB05E7"/>
    <w:rsid w:val="00FB0D26"/>
    <w:rsid w:val="00FC65D7"/>
    <w:rsid w:val="00FD1981"/>
    <w:rsid w:val="00FD5B09"/>
    <w:rsid w:val="00FE1025"/>
    <w:rsid w:val="00FE19B3"/>
    <w:rsid w:val="00FF4C37"/>
    <w:rsid w:val="5D6A5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790</Words>
  <Characters>4505</Characters>
  <Lines>37</Lines>
  <Paragraphs>10</Paragraphs>
  <TotalTime>1</TotalTime>
  <ScaleCrop>false</ScaleCrop>
  <LinksUpToDate>false</LinksUpToDate>
  <CharactersWithSpaces>5285</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2020-12-30T12:46:00Z</dcterms:created>
  <dc:creator>胡春峰</dc:creator>
  <cp:lastModifiedBy>+7</cp:lastModifiedBy>
  <dcterms:modified xsi:type="dcterms:W3CDTF">2023-09-06T03:47:26Z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4F2DB6977D22477593D3CD4C83DD6596_13</vt:lpwstr>
  </property>
</Properties>
</file>