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食品添加剂生产许可首次申请</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中华人民共和国主席令第二十二号）第三十九条：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color w:val="auto"/>
          <w:sz w:val="28"/>
          <w:szCs w:val="28"/>
          <w:lang w:val="en-US" w:eastAsia="zh-CN"/>
        </w:rPr>
        <w:t>行政许可</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1.食品生产许可证</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2.食品生产设备布局图和食品生产工艺流程图</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3.食品生产主要设备、设施清单</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4.专职或兼职的食品安全技术人员、食品安全管理人员信息和食品安全管理制度</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法定：15个工作日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承诺：1个工作日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六、结果名称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十二、结果送达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法定办结时限15个工作日，承诺办结时限1个工作日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color w:val="auto"/>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color w:val="auto"/>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zRlMGZjNDRlMzNlYjZhMjNjYTI5YmIzZmQxNDMifQ=="/>
  </w:docVars>
  <w:rsids>
    <w:rsidRoot w:val="59F17489"/>
    <w:rsid w:val="134E2645"/>
    <w:rsid w:val="25AA2B6C"/>
    <w:rsid w:val="48F41D9E"/>
    <w:rsid w:val="585F3DEA"/>
    <w:rsid w:val="59F17489"/>
    <w:rsid w:val="5AAE19EE"/>
    <w:rsid w:val="60761EAD"/>
    <w:rsid w:val="61824BA2"/>
    <w:rsid w:val="69151340"/>
    <w:rsid w:val="71F927D9"/>
    <w:rsid w:val="749A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497</Words>
  <Characters>553</Characters>
  <Lines>0</Lines>
  <Paragraphs>0</Paragraphs>
  <TotalTime>1</TotalTime>
  <ScaleCrop>false</ScaleCrop>
  <LinksUpToDate>false</LinksUpToDate>
  <CharactersWithSpaces>559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2023-09-04T09:25:05Z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EE75128BD2E1461CAD0A5449D8D12988_13</vt:lpwstr>
  </property>
</Properties>
</file>