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i w:val="0"/>
          <w:iCs w:val="0"/>
          <w:caps w:val="0"/>
          <w:color w:val="auto"/>
          <w:spacing w:val="0"/>
          <w:sz w:val="28"/>
          <w:szCs w:val="28"/>
          <w:shd w:val="clear" w:fill="FFFFFF"/>
        </w:rPr>
        <w:t>企业信用信息查询服务</w:t>
      </w:r>
    </w:p>
    <w:p>
      <w:pPr>
        <w:pStyle w:val="5"/>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450" w:lineRule="atLeast"/>
        <w:ind w:left="0" w:right="0" w:firstLine="0" w:firstLineChars="0"/>
        <w:textAlignment w:val="auto"/>
        <w:rPr>
          <w:rFonts w:hint="eastAsia" w:ascii="仿宋" w:hAnsi="仿宋" w:eastAsia="仿宋" w:cs="仿宋"/>
          <w:color w:val="auto"/>
          <w:sz w:val="28"/>
          <w:szCs w:val="28"/>
        </w:rPr>
      </w:pPr>
      <w:r>
        <w:rPr>
          <w:rFonts w:hint="eastAsia" w:ascii="仿宋" w:hAnsi="仿宋" w:eastAsia="仿宋" w:cs="仿宋"/>
          <w:b w:val="0"/>
          <w:bCs w:val="0"/>
          <w:color w:val="auto"/>
          <w:kern w:val="2"/>
          <w:sz w:val="28"/>
          <w:szCs w:val="28"/>
          <w:lang w:val="en-US" w:eastAsia="zh-CN" w:bidi="ar-SA"/>
        </w:rPr>
        <w:t>1.《企业信息公示暂行条例》（中华人民共和国国务院令第654号）第六条：工商行政管理部门应当通过企业信用信息公示系统，公示其在履行职责过程中产生的下列企业信息：（一）注册登记、备案信息；（二）动产抵押登记信息；（三）股权出质登记信息；（四）行政处罚信息；（五）其他依法应当公示的信息。前款规定的企业信息应当自产生之日起20个工作日内予以公示。2.国务院办公厅《关于政府部门涉企信息统一归集公示工作实施方案的复函》（国办函〔2016〕74号）：五、企业信息的应用（三）企业信息服务。以降低社会交易成本为目标，开放公示的企业信息资源。优化搜索引擎功能，开发便捷查询工具，实现多种条件模糊查询、跨地域数据关联查询；引导利益相关主体、消费者、新闻媒体查询使用企业信息，对失信者形成市场性、社会性约束。扩大企业信息在公共服务领域中的应用，鼓励社会各方运用公示数据开发合规的衍生产品。探索运用大数据、云计算等现代信息技术，整合形成社会各方对同一企业不同侧面的相关数据描述，为维护市场健康发展提供有效手段。</w:t>
      </w:r>
    </w:p>
    <w:p>
      <w:pPr>
        <w:pStyle w:val="5"/>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公共服务</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jc w:val="both"/>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b w:val="0"/>
          <w:bCs w:val="0"/>
          <w:color w:val="auto"/>
          <w:sz w:val="28"/>
          <w:szCs w:val="28"/>
          <w:lang w:val="en-US" w:eastAsia="zh-CN"/>
        </w:rPr>
        <w:t>身份证</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法定：20个工作日</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承诺：1个工作日</w:t>
      </w:r>
    </w:p>
    <w:p>
      <w:pPr>
        <w:pStyle w:val="5"/>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5"/>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5"/>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7"/>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5"/>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5"/>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法定办结时限20个工作日，承诺办结时限1个工作日</w:t>
      </w: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pStyle w:val="8"/>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pStyle w:val="5"/>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6"/>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02A342E3"/>
    <w:rsid w:val="134E2645"/>
    <w:rsid w:val="1F5677C6"/>
    <w:rsid w:val="32EF592F"/>
    <w:rsid w:val="48F41D9E"/>
    <w:rsid w:val="585F3DEA"/>
    <w:rsid w:val="59F17489"/>
    <w:rsid w:val="61824BA2"/>
    <w:rsid w:val="63DA182F"/>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
    <w:name w:val="一级条标题"/>
    <w:next w:val="5"/>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
    <w:name w:val="章标题"/>
    <w:next w:val="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713</Words>
  <Characters>770</Characters>
  <Lines>0</Lines>
  <Paragraphs>0</Paragraphs>
  <TotalTime>11</TotalTime>
  <ScaleCrop>false</ScaleCrop>
  <LinksUpToDate>false</LinksUpToDate>
  <CharactersWithSpaces>777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5B43DEA580194781A27EB6ABE054F019_13</vt:lpwstr>
  </property>
</Properties>
</file>