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A5F6A">
      <w:pPr>
        <w:pStyle w:val="2"/>
        <w:keepNext w:val="0"/>
        <w:keepLines w:val="0"/>
        <w:widowControl/>
        <w:suppressLineNumbers w:val="0"/>
        <w:ind w:left="0" w:firstLine="420"/>
      </w:pPr>
      <w:r>
        <w:rPr>
          <w:rFonts w:ascii="Microsoft YaHei UI" w:hAnsi="Microsoft YaHei UI" w:eastAsia="Microsoft YaHei UI" w:cs="Microsoft YaHei UI"/>
          <w:spacing w:val="15"/>
          <w:sz w:val="27"/>
          <w:szCs w:val="27"/>
          <w:shd w:val="clear" w:fill="FFFFFF"/>
        </w:rPr>
        <w:t>为深入推进基层治理“小马拉大车”突出问题集中整治攻坚行动，8月13日，代力吉镇组织召开</w:t>
      </w:r>
      <w:r>
        <w:rPr>
          <w:rFonts w:hint="eastAsia" w:ascii="Microsoft YaHei UI" w:hAnsi="Microsoft YaHei UI" w:eastAsia="Microsoft YaHei UI" w:cs="Microsoft YaHei UI"/>
          <w:color w:val="000000"/>
          <w:spacing w:val="15"/>
          <w:sz w:val="27"/>
          <w:szCs w:val="27"/>
          <w:shd w:val="clear" w:fill="FFFFFF"/>
        </w:rPr>
        <w:t>基层治理“小马拉大车”突出问题集中整治攻坚工作会议，会议采取“实地观摩+线下述职”的形式举行，在家党政领导班子成员、20个嘎查村支部书记参会。</w:t>
      </w:r>
    </w:p>
    <w:p w14:paraId="73EEC720">
      <w:pPr>
        <w:keepNext w:val="0"/>
        <w:keepLines w:val="0"/>
        <w:widowControl/>
        <w:suppressLineNumbers w:val="0"/>
        <w:jc w:val="left"/>
      </w:pPr>
      <w:r>
        <w:rPr>
          <w:rFonts w:ascii="宋体" w:hAnsi="宋体" w:eastAsia="宋体" w:cs="宋体"/>
          <w:spacing w:val="7"/>
          <w:kern w:val="0"/>
          <w:sz w:val="24"/>
          <w:szCs w:val="24"/>
          <w:lang w:val="en-US" w:eastAsia="zh-CN" w:bidi="ar"/>
        </w:rPr>
        <w:drawing>
          <wp:inline distT="0" distB="0" distL="114300" distR="114300">
            <wp:extent cx="10287000" cy="77152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0287000" cy="7715250"/>
                    </a:xfrm>
                    <a:prstGeom prst="rect">
                      <a:avLst/>
                    </a:prstGeom>
                    <a:noFill/>
                    <a:ln w="9525">
                      <a:noFill/>
                    </a:ln>
                  </pic:spPr>
                </pic:pic>
              </a:graphicData>
            </a:graphic>
          </wp:inline>
        </w:drawing>
      </w:r>
    </w:p>
    <w:p w14:paraId="5DC90CE5">
      <w:pPr>
        <w:pStyle w:val="2"/>
        <w:keepNext w:val="0"/>
        <w:keepLines w:val="0"/>
        <w:widowControl/>
        <w:suppressLineNumbers w:val="0"/>
        <w:ind w:left="0" w:firstLine="420"/>
      </w:pPr>
      <w:r>
        <w:rPr>
          <w:sz w:val="27"/>
          <w:szCs w:val="27"/>
        </w:rPr>
        <w:t>活动中，与会人员先后深入甘珠尔、敖力布告嘎查，实地观摩了标识标牌清理整治情况，相关负责人介绍了清理整治工作的经验做法及取得的成效。随后观摩团在镇政府大会议室举行了述职会议，详细了解各村各项重点工作进展情况，并安排部署了下一阶段重点工作任务。</w:t>
      </w:r>
    </w:p>
    <w:p w14:paraId="3BB97396">
      <w:pPr>
        <w:keepNext w:val="0"/>
        <w:keepLines w:val="0"/>
        <w:widowControl/>
        <w:suppressLineNumbers w:val="0"/>
        <w:jc w:val="left"/>
      </w:pPr>
      <w:r>
        <w:rPr>
          <w:rFonts w:ascii="宋体" w:hAnsi="宋体" w:eastAsia="宋体" w:cs="宋体"/>
          <w:spacing w:val="9"/>
          <w:kern w:val="0"/>
          <w:sz w:val="24"/>
          <w:szCs w:val="24"/>
          <w:lang w:val="en-US" w:eastAsia="zh-CN" w:bidi="ar"/>
        </w:rPr>
        <w:drawing>
          <wp:inline distT="0" distB="0" distL="114300" distR="114300">
            <wp:extent cx="10287000" cy="7715250"/>
            <wp:effectExtent l="0" t="0" r="0"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10287000" cy="7715250"/>
                    </a:xfrm>
                    <a:prstGeom prst="rect">
                      <a:avLst/>
                    </a:prstGeom>
                    <a:noFill/>
                    <a:ln w="9525">
                      <a:noFill/>
                    </a:ln>
                  </pic:spPr>
                </pic:pic>
              </a:graphicData>
            </a:graphic>
          </wp:inline>
        </w:drawing>
      </w:r>
    </w:p>
    <w:p w14:paraId="2B801DE5">
      <w:pPr>
        <w:pStyle w:val="2"/>
        <w:keepNext w:val="0"/>
        <w:keepLines w:val="0"/>
        <w:widowControl/>
        <w:suppressLineNumbers w:val="0"/>
        <w:jc w:val="center"/>
      </w:pPr>
      <w:r>
        <w:drawing>
          <wp:inline distT="0" distB="0" distL="114300" distR="114300">
            <wp:extent cx="10287000" cy="7715250"/>
            <wp:effectExtent l="0" t="0" r="0" b="0"/>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6"/>
                    <a:stretch>
                      <a:fillRect/>
                    </a:stretch>
                  </pic:blipFill>
                  <pic:spPr>
                    <a:xfrm>
                      <a:off x="0" y="0"/>
                      <a:ext cx="10287000" cy="7715250"/>
                    </a:xfrm>
                    <a:prstGeom prst="rect">
                      <a:avLst/>
                    </a:prstGeom>
                    <a:noFill/>
                    <a:ln w="9525">
                      <a:noFill/>
                    </a:ln>
                  </pic:spPr>
                </pic:pic>
              </a:graphicData>
            </a:graphic>
          </wp:inline>
        </w:drawing>
      </w:r>
    </w:p>
    <w:p w14:paraId="246D242A">
      <w:pPr>
        <w:pStyle w:val="2"/>
        <w:keepNext w:val="0"/>
        <w:keepLines w:val="0"/>
        <w:widowControl/>
        <w:suppressLineNumbers w:val="0"/>
        <w:jc w:val="center"/>
      </w:pPr>
      <w:r>
        <w:drawing>
          <wp:inline distT="0" distB="0" distL="114300" distR="114300">
            <wp:extent cx="10287000" cy="7715250"/>
            <wp:effectExtent l="0" t="0" r="0" b="0"/>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7"/>
                    <a:stretch>
                      <a:fillRect/>
                    </a:stretch>
                  </pic:blipFill>
                  <pic:spPr>
                    <a:xfrm>
                      <a:off x="0" y="0"/>
                      <a:ext cx="10287000" cy="7715250"/>
                    </a:xfrm>
                    <a:prstGeom prst="rect">
                      <a:avLst/>
                    </a:prstGeom>
                    <a:noFill/>
                    <a:ln w="9525">
                      <a:noFill/>
                    </a:ln>
                  </pic:spPr>
                </pic:pic>
              </a:graphicData>
            </a:graphic>
          </wp:inline>
        </w:drawing>
      </w:r>
    </w:p>
    <w:p w14:paraId="309C0E65">
      <w:pPr>
        <w:keepNext w:val="0"/>
        <w:keepLines w:val="0"/>
        <w:widowControl/>
        <w:suppressLineNumbers w:val="0"/>
        <w:jc w:val="left"/>
      </w:pPr>
      <w:r>
        <w:rPr>
          <w:rFonts w:ascii="宋体" w:hAnsi="宋体" w:eastAsia="宋体" w:cs="宋体"/>
          <w:kern w:val="0"/>
          <w:sz w:val="27"/>
          <w:szCs w:val="27"/>
          <w:lang w:val="en-US" w:eastAsia="zh-CN" w:bidi="ar"/>
        </w:rPr>
        <w:t>会议强调，</w:t>
      </w:r>
      <w:r>
        <w:rPr>
          <w:rStyle w:val="5"/>
          <w:rFonts w:ascii="宋体" w:hAnsi="宋体" w:eastAsia="宋体" w:cs="宋体"/>
          <w:kern w:val="0"/>
          <w:sz w:val="27"/>
          <w:szCs w:val="27"/>
          <w:lang w:val="en-US" w:eastAsia="zh-CN" w:bidi="ar"/>
        </w:rPr>
        <w:t>一是</w:t>
      </w:r>
      <w:r>
        <w:rPr>
          <w:rFonts w:ascii="宋体" w:hAnsi="宋体" w:eastAsia="宋体" w:cs="宋体"/>
          <w:kern w:val="0"/>
          <w:sz w:val="27"/>
          <w:szCs w:val="27"/>
          <w:lang w:val="en-US" w:eastAsia="zh-CN" w:bidi="ar"/>
        </w:rPr>
        <w:t>要提高政治站位，深刻认识规范嘎查村社区级组织工作事务、机制牌子和证明事项工作是贯彻落实习近平总书记关于整治形式主义为基层减负重要指示精神的具体实践，是破解“小马拉大车”难题提升基层治理效能的重要抓手。</w:t>
      </w:r>
      <w:r>
        <w:rPr>
          <w:rStyle w:val="5"/>
          <w:rFonts w:ascii="宋体" w:hAnsi="宋体" w:eastAsia="宋体" w:cs="宋体"/>
          <w:kern w:val="0"/>
          <w:sz w:val="27"/>
          <w:szCs w:val="27"/>
          <w:lang w:val="en-US" w:eastAsia="zh-CN" w:bidi="ar"/>
        </w:rPr>
        <w:t>二是</w:t>
      </w:r>
      <w:r>
        <w:rPr>
          <w:rFonts w:ascii="宋体" w:hAnsi="宋体" w:eastAsia="宋体" w:cs="宋体"/>
          <w:kern w:val="0"/>
          <w:sz w:val="27"/>
          <w:szCs w:val="27"/>
          <w:lang w:val="en-US" w:eastAsia="zh-CN" w:bidi="ar"/>
        </w:rPr>
        <w:t>要强化工作举措，坚持对标对表和因地制宜相结合，紧扣目标任务，“一村一策”明确嘎查村级组织工作事务、机制牌子和证明事项，持续抓好排查和整治工作，做到边排查边整改、边整改边规范，把减负增效落到实处。</w:t>
      </w:r>
      <w:r>
        <w:rPr>
          <w:rStyle w:val="5"/>
          <w:rFonts w:ascii="宋体" w:hAnsi="宋体" w:eastAsia="宋体" w:cs="宋体"/>
          <w:kern w:val="0"/>
          <w:sz w:val="27"/>
          <w:szCs w:val="27"/>
          <w:lang w:val="en-US" w:eastAsia="zh-CN" w:bidi="ar"/>
        </w:rPr>
        <w:t>三是</w:t>
      </w:r>
      <w:r>
        <w:rPr>
          <w:rFonts w:ascii="宋体" w:hAnsi="宋体" w:eastAsia="宋体" w:cs="宋体"/>
          <w:kern w:val="0"/>
          <w:sz w:val="27"/>
          <w:szCs w:val="27"/>
          <w:lang w:val="en-US" w:eastAsia="zh-CN" w:bidi="ar"/>
        </w:rPr>
        <w:t>要加强组织领导，逐一规范嘎查村社区级组织的工作事项、机制牌子和证明事项，强化协调职能，抓好统筹指导、资源整合和督促检查，加强与相关党政群机构的工作衔接，加强上下联动，合力推动此次专项整治工作深入开展，确保取得实实在在的成效。</w:t>
      </w:r>
    </w:p>
    <w:p w14:paraId="30ABDBB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kOTRmMDk1YjY0YTlhZjM1YzU0MjE1MzJiZTFjZTgifQ=="/>
  </w:docVars>
  <w:rsids>
    <w:rsidRoot w:val="632A026A"/>
    <w:rsid w:val="632A0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2024-10-19T03:26:00Z</dcterms:created>
  <dc:creator>莫向光阴惰寸功</dc:creator>
  <cp:lastModifiedBy>莫向光阴惰寸功</cp:lastModifiedBy>
  <dcterms:modified xsi:type="dcterms:W3CDTF">2024-10-19T03:27:56Z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1C857B422A1D472F804DC4A85645DA5A_11</vt:lpwstr>
  </property>
</Properties>
</file>