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703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Microsoft YaHei UI" w:hAnsi="Microsoft YaHei UI" w:eastAsia="Microsoft YaHei UI" w:cs="Microsoft YaHei UI"/>
          <w:i w:val="0"/>
          <w:iCs w:val="0"/>
          <w:caps w:val="0"/>
          <w:spacing w:val="8"/>
          <w:sz w:val="24"/>
          <w:szCs w:val="24"/>
        </w:rPr>
      </w:pPr>
      <w:r>
        <w:rPr>
          <w:i w:val="0"/>
          <w:iCs w:val="0"/>
          <w:caps w:val="0"/>
          <w:spacing w:val="8"/>
          <w:sz w:val="33"/>
          <w:szCs w:val="33"/>
          <w:bdr w:val="none" w:color="auto" w:sz="0" w:space="0"/>
        </w:rPr>
        <w:t>政府工作报告 | 聚焦2025内蒙古两会</w:t>
      </w:r>
      <w:r>
        <w:rPr>
          <w:rFonts w:hint="eastAsia" w:ascii="Microsoft YaHei UI" w:hAnsi="Microsoft YaHei UI" w:eastAsia="Microsoft YaHei UI" w:cs="Microsoft YaHei UI"/>
          <w:i w:val="0"/>
          <w:iCs w:val="0"/>
          <w:caps w:val="0"/>
          <w:spacing w:val="8"/>
          <w:sz w:val="24"/>
          <w:szCs w:val="24"/>
          <w:bdr w:val="none" w:color="auto" w:sz="0" w:space="0"/>
        </w:rPr>
        <w:drawing>
          <wp:inline distT="0" distB="0" distL="114300" distR="114300">
            <wp:extent cx="304800" cy="304800"/>
            <wp:effectExtent l="0" t="0" r="0" b="0"/>
            <wp:docPr id="34"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bookmarkStart w:id="0" w:name="_GoBack"/>
      <w:bookmarkEnd w:id="0"/>
    </w:p>
    <w:p w14:paraId="7E3974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Microsoft YaHei UI" w:hAnsi="Microsoft YaHei UI" w:eastAsia="Microsoft YaHei UI" w:cs="Microsoft YaHei UI"/>
          <w:i w:val="0"/>
          <w:iCs w:val="0"/>
          <w:caps w:val="0"/>
          <w:spacing w:val="8"/>
          <w:sz w:val="24"/>
          <w:szCs w:val="24"/>
          <w:bdr w:val="none" w:color="auto" w:sz="0" w:space="0"/>
          <w:vertAlign w:val="baseline"/>
        </w:rPr>
        <w:drawing>
          <wp:anchor distT="0" distB="0" distL="114300" distR="114300" simplePos="0" relativeHeight="251659264" behindDoc="1" locked="0" layoutInCell="1" allowOverlap="1">
            <wp:simplePos x="0" y="0"/>
            <wp:positionH relativeFrom="column">
              <wp:posOffset>9525</wp:posOffset>
            </wp:positionH>
            <wp:positionV relativeFrom="paragraph">
              <wp:posOffset>231775</wp:posOffset>
            </wp:positionV>
            <wp:extent cx="5274310" cy="3515995"/>
            <wp:effectExtent l="0" t="0" r="2540" b="8255"/>
            <wp:wrapTight wrapText="bothSides">
              <wp:wrapPolygon>
                <wp:start x="0" y="0"/>
                <wp:lineTo x="0" y="21534"/>
                <wp:lineTo x="21532" y="21534"/>
                <wp:lineTo x="21532" y="0"/>
                <wp:lineTo x="0" y="0"/>
              </wp:wrapPolygon>
            </wp:wrapTight>
            <wp:docPr id="33" name="图片 3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descr="IMG_257"/>
                    <pic:cNvPicPr>
                      <a:picLocks noChangeAspect="1"/>
                    </pic:cNvPicPr>
                  </pic:nvPicPr>
                  <pic:blipFill>
                    <a:blip r:embed="rId6"/>
                    <a:stretch>
                      <a:fillRect/>
                    </a:stretch>
                  </pic:blipFill>
                  <pic:spPr>
                    <a:xfrm>
                      <a:off x="0" y="0"/>
                      <a:ext cx="5274310" cy="3515995"/>
                    </a:xfrm>
                    <a:prstGeom prst="rect">
                      <a:avLst/>
                    </a:prstGeom>
                    <a:noFill/>
                    <a:ln w="9525">
                      <a:noFill/>
                    </a:ln>
                  </pic:spPr>
                </pic:pic>
              </a:graphicData>
            </a:graphic>
          </wp:anchor>
        </w:drawing>
      </w:r>
    </w:p>
    <w:p w14:paraId="002A82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center"/>
        <w:textAlignment w:val="auto"/>
      </w:pPr>
      <w:r>
        <w:rPr>
          <w:rFonts w:hint="eastAsia" w:ascii="Microsoft YaHei UI" w:hAnsi="Microsoft YaHei UI" w:eastAsia="Microsoft YaHei UI" w:cs="Microsoft YaHei UI"/>
          <w:i w:val="0"/>
          <w:iCs w:val="0"/>
          <w:caps w:val="0"/>
          <w:color w:val="888888"/>
          <w:spacing w:val="8"/>
          <w:kern w:val="0"/>
          <w:sz w:val="24"/>
          <w:szCs w:val="24"/>
          <w:bdr w:val="none" w:color="auto" w:sz="0" w:space="0"/>
          <w:lang w:val="en-US" w:eastAsia="zh-CN" w:bidi="ar"/>
        </w:rPr>
        <w:t>自治区人民政府主席王莉霞作政府工作报告</w:t>
      </w:r>
    </w:p>
    <w:p w14:paraId="470511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Style w:val="8"/>
          <w:rFonts w:hint="eastAsia" w:ascii="Microsoft YaHei UI" w:hAnsi="Microsoft YaHei UI" w:eastAsia="Microsoft YaHei UI" w:cs="Microsoft YaHei UI"/>
          <w:i w:val="0"/>
          <w:iCs w:val="0"/>
          <w:caps w:val="0"/>
          <w:color w:val="AB1942"/>
          <w:spacing w:val="7"/>
          <w:kern w:val="0"/>
          <w:sz w:val="27"/>
          <w:szCs w:val="27"/>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color w:val="AB1942"/>
          <w:spacing w:val="7"/>
          <w:kern w:val="0"/>
          <w:sz w:val="27"/>
          <w:szCs w:val="27"/>
          <w:bdr w:val="none" w:color="auto" w:sz="0" w:space="0"/>
          <w:lang w:val="en-US" w:eastAsia="zh-CN" w:bidi="ar"/>
        </w:rPr>
        <w:t>　　一、2024年工作回顾</w:t>
      </w:r>
    </w:p>
    <w:p w14:paraId="0B8F45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spacing w:val="7"/>
          <w:sz w:val="27"/>
          <w:szCs w:val="27"/>
        </w:rPr>
      </w:pPr>
    </w:p>
    <w:p w14:paraId="12CA25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spacing w:val="7"/>
          <w:kern w:val="0"/>
          <w:sz w:val="27"/>
          <w:szCs w:val="27"/>
          <w:bdr w:val="none" w:color="auto" w:sz="0" w:space="0"/>
          <w:lang w:val="en-US" w:eastAsia="zh-CN" w:bidi="ar"/>
        </w:rPr>
        <w:t>　　</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过去一年，在自治区党委带领下，我们深入贯彻落实习近平总书记对内蒙古的重要指示精神，紧扣铸牢中华民族共同体意识工作主线，凝心聚力办好“两件大事”、抓好“六个工程”，统筹做好经济社会发展各项工作，闯新路进中游迈出实质性步伐。预计地区生产总值增长6%左右、突破2.6万亿元，总量在全国排名有望上升至第20位，时隔5年重回全国中游；工业增加值跨过万亿元大关，全国排名有望上升3位、居第14位，乳业、稀土新材料、现代煤化工入选国家级先进制造业集群，数量居西部省份第2位。粮食总产量达到820.1亿斤、实现“二十一连丰”，增量居全国第3位。新能源装机在全国率先破亿、达到1.35亿千瓦，超过火电装机，提前一年实现自治区第十一次党代会确定目标。单位GDP能耗下降3%，提前一年达到“十四五”规划控制目标。引进到位资金超5300亿元，提前一年实现三年引资1万亿元目标。算力总规模达到9.4万P，其中智算8.7万P、居全国第1位。</w:t>
      </w:r>
    </w:p>
    <w:p w14:paraId="2F54D6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color w:val="000000"/>
          <w:spacing w:val="7"/>
          <w:sz w:val="27"/>
          <w:szCs w:val="27"/>
        </w:rPr>
      </w:pPr>
    </w:p>
    <w:p w14:paraId="6C84D0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一年来，我们牢记习近平总书记殷殷嘱托，推动全方位建设模范自治区和“五大任务”取得新成效。</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紧紧围绕铸牢中华民族共同体意识工作主线，深入落实自治区党委全方位建设模范自治区的决定及28条措施，常态化开展“感党恩、听党话、跟党走”群众教育，动态清理不符合主线要求的规范性文件，中小学三科统编教材实现全覆盖。“五大任务”是习近平总书记赋予内蒙古的战略定位，是我们必须履行好的重要职责使命。自治区党委明确年度任务清单后，我们跟踪调度、紧抓落实，通过一年努力取得显著成效。生态安全屏障方面，按照习近平总书记动员令要求，持续打好“三北”工程攻坚战，治沙、造林、种草分别完成年度目标任务的113%、220%和148%；紧盯中央生态环保督察反馈意见抓好整改落实，开展生态环境问题隐患排查起底，实施黄河及“一湖两海”综合治理项目47个、乌海及周边地区等大气治理项目63个，黄河干流水质连续5年保持Ⅱ类以上，全区地表水国考断面水质优良比例81.4%、空气质量优良天数比例90.6%，均完成国家下达考核目标。安全稳定屏障方面，牢记“学费不能白交”，狠抓安全生产、开展治本攻坚，生产安全事故起数、死亡人数“双下降”。我们统筹推进防风险、强监管、促发展，加强财政全区统筹，推动资金下沉，拿出120.6亿元支持基层化债，兜牢基层“三保”底线，地方政府融资平台压降66.5%，8个旗县隐性债务清零，1个盟市本级和10个旗县有望退出高风险等级，有望实现全区债务风险降级；稳步推进地方金融机构改革化险，高风险机构压降80%；完成保交楼、保交房任务。加强社会矛盾纠纷源头治理，全面推行信访代办制，全区信访总量下降46.5%。严厉打击电信诈骗、校园欺凌等违法犯罪活动，深化命案积案攻坚，全社会安全感持续提升。加强党政军警民“五位一体”合力强边固防工作。能源和战略资源基地方面，预计产煤12.9亿吨，完成保供任务8.3亿吨、占全国34.5%，发电超8000亿度，外送电量3150亿度、占全国16%，均居全国第1位；生产绿电超2000亿度，发行全国首张绿电国际碳足迹证书，在全国率先开展跨省特高压绿电交易，绿电交易规模居全国第1位，远景、明阳、隆基、龙马等一批企业总部注册落地；稀土永磁材料产量增长30%以上，稀土产业产值超过千亿元；找矿突破行动新发现20处大中型战略性矿产地，8种矿产完成“十四五”增储任务。农畜产品生产基地方面，建设高标准农田940万亩、“吨粮田”855万亩，新增设施农业26万亩、舍饲棚圈300万平方米，78万农牧户发展庭院经济，粮食亩均产量提高24.2斤，玉米、马铃薯平均单产再创新高，牛羊肉、牛奶产量稳居全国第1位，乳肉薯绒等7条重点产业链产值突破7000亿元，全国人民餐桌上有了越来越多来自大草原的绿色食品。向北开放桥头堡方面，新缔结3对国际友城，中蒙二连浩特—扎门乌德经济合作区、通辽保税物流中心获批，甘其毛都口岸高速公路全线贯通，满洲里铁路口岸互贸区封关运营，预计全区陆路口岸货运量超1.2亿吨，进出口总额超2000亿元，“新三样”产品出口增长50%以上。</w:t>
      </w:r>
    </w:p>
    <w:p w14:paraId="087752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7277D8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一年来，我们紧盯不放、紧抓快办，推动“六个工程”取得标志性成果。</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政策落地成效明显，国务院16号文件加快实施，86个重大项目已开工74个，西部大开发、东北全面振兴、黄河流域生态保护和高质量发展等国家重大战略均得到有效落实。防沙治沙和风电光伏一体化工程实现“开春即开工”，建设风电光伏装机2727万千瓦、治沙238万亩，库布其沙漠“光伏长城”初具规模，乌丹至白音套海治沙公路获评全国最美农村路，“以工代赈”带动群众增收8.5亿元，实现荒漠化防治、新能源发展、老百姓增收共赢。温暖工程年度任务全面完成，投入近200亿元，改造供热管网近1万公里，全区在线监测室温达标率99%以上，完成清洁取暖改造19.3万户，群众满意度明显提升。诚信建设扎实推进，出台自治区社会信用条例，建立重点领域信用监管制度，设立诚信投诉窗口，大力整治各类失信行为，为企业清欠账款、挽回损失71.4亿元。科技“突围”起步成势，5个点位36项重点任务全面推进，在乳业、稀土、氢、储等领域取得一批填补行业空白的技术突破，空天跨尺度计量基准大科学装置与高性能光栅产业化项目开工建设；与怀柔国家实验室达成战略合作，大青山、鄂尔多斯实验室挂牌运行，国家乳业技术创新中心等科研机构和高校、企业承接13个国家重点研发项目；“蒙科聚”平台效果显现，交易转化2412笔、增长8.7%，技术合同成交额增长33.6%；净增科技型中小企业853家、高新技术企业97家、科技领军企业20家，新增45个博士硕士学位授权点，11个学科专业实现博士点从无到有，2个项目获国家科技进步二等奖，我区区域创新能力全国排名上升4位。自贸区创建积极推进，编制完成总体方案，复制推广223项国家层面制度创新成果，试点开展投资、贸易、金融等领域改革。</w:t>
      </w:r>
    </w:p>
    <w:p w14:paraId="2D34D9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250597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一年来，我们坚持用改革的办法破解难题，有效激发经济社会发展动力活力。</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认真贯彻党的二十届三中全会精神，紧扣自治区党委确定的276项改革任务，细化分工、强力推进，出台节能降碳、零基预算、低空经济、医疗服务价格等一批改革方案。特别是按照自治区党委要求，一体推进改错、改机制、改布局、改作风，解决了一些矛盾问题，理顺了一些职能机制。下气力解决“大水漫灌”问题，完成农业水价综合改革，新增农业节水3.8亿立方米。下决心解决草原过牧问题，完善草原补奖资金发放机制，在17个旗县开展试点，天然草原草畜平衡指数由23.9%降至10%以下。推动交通物流领域改革，加强网络货运监管服务，网络货运量、交易额分别增长3.5倍和2.5倍，培育公铁航邮领军企业91家，调整高速公路限速4747公里、时速120公里路段占比由18%增至71%。持续优化营商环境，组建民营经济发展服务局，出台支持民营经济高质量发展意见，为企业减税降费及退税300亿元，自治区惠企直达资金13.7亿元，普惠型小微企业贷款余额增长14%，“高效办成一件事”在完成国务院发布的13个事项基础上又推出10个、环节时限材料均压减70%以上，民营经营主体净增16.4万户、增长6.4%，英思特稀磁新材料在深交所上市。深化国企改革突围，加快建立现代企业制度，执行薪酬与效益刚性挂钩机制，自治区国资委监管企业资产总额首次突破万亿元，电力集团全国500强排名上升11位，包钢集团利润增速高于行业平均水平33个百分点，能源集团、林草生态公司利润分别增长1倍和15倍，交通集团、文旅集团营收分别增长1.1倍和4.3倍。深化简政放权改革，发改、工信、财政等部门推出一批优化审批流程时效、放宽资金管理权限等改革事项。坚持改错就是改革，认真整改巡视、审计、统计等监督检查发现问题，常态化推进煤炭资源领域违规违法问题治理，深入整治国企、医药、金融、招投标等领域突出问题。</w:t>
      </w:r>
    </w:p>
    <w:p w14:paraId="473ACF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2940B0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一年来，我们一手抓经济发展、一手抓民生改善，让各族群众共享现代化建设成果。</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预计固定资产投资增长13%、保持全国第2位，重大项目投资突破9100亿元，宝丰全球单厂规模最大煤制烯烃绿氢耦合、隆基光伏全产业链一体化、北方稀土全球规模最大最先进冶炼分离等产业项目投产；集大原高铁开通运行，集通铁路全面实现电气化，东西高速公路大通道全线贯通，呼和浩特盛乐国际机场主体工程基本完工，胜利至张北特高压输电工程投入运行，云数据中心等新基建投资增长40%以上。预计社会消费品零售总额增长4%，汽车、家电等以旧换新带动消费300多亿元，新引进首店、旗舰店168家，“歌游内蒙古”、“天天那达慕”奏响旅游新乐章，阿尔山国家级旅游度假区和老牛湾黄河大峡谷、莫尔格勒河5A级景区获批，全区接待游客2.73亿人次、实现收入4140亿元，增长18.6%和23.4%。加强北疆文化研究创作传播，元上都、秦直道遗址、乌达二叠纪植被化石产地保护取得积极进展，红山文化考古又有重大发现，巴丹吉林沙漠—沙山湖泊群成功申遗，电视剧《父辈的荣耀》获“五个一工程”奖，乌兰牧骑在北上广等25个省市巡演760多场，《骑兵》等文艺作品展演场场爆满，“北疆文化神州行”唱响全国。民生事业不断取得新进展，预计居民收入增长与经济增长基本同步，新增城镇就业20.1万人，年初承诺的33项民生实事全部完成，提高城乡居民养老金、残疾人补贴等5项标准，基本民生保障标准全部达到或超过全国平均水平；新筹建保障性租赁住房1.69万套，改造农村牧区危房3460户、城镇老旧小区1185个；全面完成偏远农牧户和边防哨所电网延伸及新能源通电升级工程；新增婴幼儿托位1.8万个、基础教育学位3.8万个，新设本科专业22个，职业教育为企业订单式培养技能人才3.1万名；新挂牌北京友谊医院、宣武医院内蒙古医院2个国家区域医疗中心，建成紧密型县域医共体61个，全区333家医疗机构实现检查检验结果互认，医药集中带量采购减轻群众就医负担172亿元；成功举办第十四届全国冬季运动会、男子曲棍球亚洲杯联赛、全国乒乓球锦标赛等重大赛事，我区运动员在巴黎奥运会上取得1金1银的历史最好成绩。京蒙协作从乡村振兴向全方位合作拓展，京企落地投资175亿元，带动7万多名农村牧区劳动力就业，1000余名京师京医专家在我区开展服务，我区308亿元绿色农畜产品进首都，京津冀蒙高校联盟组建运行。</w:t>
      </w:r>
    </w:p>
    <w:p w14:paraId="17FE2B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782872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一年来，我们紧跟新时代事业发展需要，不断加强政府自身建设。</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始终旗帜鲜明讲政治，把坚持党的领导贯穿政府工作全过程，自觉在思想上政治上行动上同以习近平同志为核心的党中央保持高度一致。在面临多重困难挑战的情况下，各级政府始终紧紧依靠党委带领，坚定发展信心，鼓足干事创业劲头，紧盯全年目标攻坚克难、锐意进取。自觉接受各方面监督，提请自治区人大常委会制定修改废止地方性法规18件，制定修改废止政府规章12件，按时办复自治区人大代表建议680件、政协提案895件。统筹推进党纪学习教育、整治形式主义为基层减负、整治群众身边不正之风和腐败问题，严格执行中央八项规定精神，持续纠治“三多三少三慢”作风问题。</w:t>
      </w:r>
    </w:p>
    <w:p w14:paraId="38B863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2F397D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各位代表！回顾过去这一年，尽管面临的困难比年初预料的多、挑战比预想的大，特别是在下半年市场预期不振、大宗商品价格下跌、房地产下滑等压力加大情况下，全年发展仍然实现了稳中有进、向上向好。能够取得这样的成绩，根本在于习近平总书记的掌舵领航、亲切关怀和党中央的坚强领导，在于自治区党委带领全区上下团结一心、迎难而上、拼搏奋斗。在此，我代表自治区人民政府，向所有关心支持内蒙古发展的同志们、朋友们，表示衷心的感谢！</w:t>
      </w:r>
    </w:p>
    <w:p w14:paraId="21F747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75DF31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我们要把成绩讲够，也要把问题说透。当前自治区经济社会发展仍然面临不小压力和挑战。从需求看，我区消费弱、出口小，对经济增长的拉动有限，固定资产投资已连续3年实现高增长，继续保持高增速难度不小。从产业看，高端化、智能化、绿色化做得还不够，无论是工业还是农牧业，产品主要集中在产业链中上游，新兴产业虽然增长快但占比小。从要素保障看，我区生态脆弱，环境承载力有限，水、土地、能耗等资源要素节约利用水平还不高。从科技创新看，高端人才短缺，企业创新活力不足，产品缺乏核心竞争力，应对市场变化的能力不强。从县域经济发展看，不平衡问题突出，虽然全国百强县中我区有4个，但还有34个旗县经济总量不足百亿。从民生保障看，今年我区有17万应届大学生毕业，促进群众就业增收压力进一步加大，群众在教育、医疗、养老、托育、住房、生态环境方面还有很多期待。从政府自身建设看，一些改革发展举措落实不到位，有的干部作风仍然“慢粗虚”，面对困难挑战信心不足、行动不力。这些问题，必须认真研究解决。</w:t>
      </w:r>
      <w:r>
        <w:rPr>
          <w:rStyle w:val="8"/>
          <w:rFonts w:hint="eastAsia" w:ascii="Microsoft YaHei UI" w:hAnsi="Microsoft YaHei UI" w:eastAsia="Microsoft YaHei UI" w:cs="Microsoft YaHei UI"/>
          <w:i w:val="0"/>
          <w:iCs w:val="0"/>
          <w:caps w:val="0"/>
          <w:color w:val="AB1942"/>
          <w:spacing w:val="7"/>
          <w:kern w:val="0"/>
          <w:sz w:val="27"/>
          <w:szCs w:val="27"/>
          <w:bdr w:val="none" w:color="auto" w:sz="0" w:space="0"/>
          <w:lang w:val="en-US" w:eastAsia="zh-CN" w:bidi="ar"/>
        </w:rPr>
        <w:br w:type="textWrapping"/>
      </w:r>
      <w:r>
        <w:rPr>
          <w:rStyle w:val="8"/>
          <w:rFonts w:hint="eastAsia" w:ascii="Microsoft YaHei UI" w:hAnsi="Microsoft YaHei UI" w:eastAsia="Microsoft YaHei UI" w:cs="Microsoft YaHei UI"/>
          <w:i w:val="0"/>
          <w:iCs w:val="0"/>
          <w:caps w:val="0"/>
          <w:color w:val="AB1942"/>
          <w:spacing w:val="7"/>
          <w:kern w:val="0"/>
          <w:sz w:val="27"/>
          <w:szCs w:val="27"/>
          <w:bdr w:val="none" w:color="auto" w:sz="0" w:space="0"/>
          <w:lang w:val="en-US" w:eastAsia="zh-CN" w:bidi="ar"/>
        </w:rPr>
        <w:t>　　二、2025年工作安排</w:t>
      </w:r>
    </w:p>
    <w:p w14:paraId="3DF392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spacing w:val="7"/>
          <w:sz w:val="27"/>
          <w:szCs w:val="27"/>
        </w:rPr>
      </w:pPr>
    </w:p>
    <w:p w14:paraId="3C4BD2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spacing w:val="7"/>
          <w:kern w:val="0"/>
          <w:sz w:val="27"/>
          <w:szCs w:val="27"/>
          <w:bdr w:val="none" w:color="auto" w:sz="0" w:space="0"/>
          <w:lang w:val="en-US" w:eastAsia="zh-CN" w:bidi="ar"/>
        </w:rPr>
        <w:t>　　</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今年是“十四五”规划收官之年，也是“十五五”规划谋篇之年。中央经济工作会议后，自治区党委召开十一届九次全会暨全区经济工作会议，对全年工作作出部署。做好今年工作，要</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以习近平新时代中国特色社会主义思想为指导，深入贯彻党的二十大和二十届二中、三中全会精神，全面贯彻落实习近平总书记对内蒙古的重要指示精神，以党建为引领，全面深化改革，坚持稳中求进、守正创新、干字当头，更好统筹发展和安全，努力在“贯穿一条主线、办好两件大事、弘扬蒙古马精神、闯新路进中游”上取得更大进展，不断书写中国式现代化内蒙古新篇章。</w:t>
      </w:r>
    </w:p>
    <w:p w14:paraId="277B4F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5C16A8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全区经济社会发展的主要预期目标是：地区生产总值增长6%左右；规模以上工业增加值增长7%左右；固定资产投资增长10%左右；一般公共预算收入同口径增长4%以上；城镇新增就业18万人以上，城镇调查失业率5.5%左右；居民收入增长与经济增长基本同步；居民消费价格涨幅2%左右；确保完成国家下达的“十四五”能耗强度下降目标。</w:t>
      </w:r>
    </w:p>
    <w:p w14:paraId="63FD63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037BB9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实现今年目标，我们有条件、有基础，当然也有压力、有挑战，关键是能不能坚守住发展的信心决心，能不能保持住干事创业的劲头不松劲、不懈怠。我们要把思想和行动统一到党中央精神上来，统一到自治区党委部署要求上来，聚焦习近平总书记赋予内蒙古的战略定位，紧紧围绕“五大任务”，一张蓝图绘到底，接续实施“六个工程”、组织开展“六个行动”，全力以赴推动全区经济社会高质量发展。</w:t>
      </w:r>
    </w:p>
    <w:p w14:paraId="09ED15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2AE44A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今年要重点做好以下11个方面工作。</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（一）实施重大项目谋划行动，坚定不移抓投资。</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固定资产投资今年要增长10%左右，这个目标是等不来的，必须实实在在谋项目、争资金、抓招商，确保重大项目建设力度不降，力争投资突破万亿元大关。</w:t>
      </w:r>
    </w:p>
    <w:p w14:paraId="6B665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6F86F6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要精准谋划招引项目。今年国家“两重”政策力度会更大，关键是把项目谋划好；编制“十五五”规划，争取更多项目纳入国家大盘子，搭上中央政策红利的“列车”，关键也要把项目谋划好。在基础设施项目上，要围绕人口和经济布局，规划建设一批产业路、旅游路、园区路、便民路，加快铁路网、公路网、航空网、水利网、电力网、电信网建设，确保基础设施投资超过3000亿元。在产业发展项目上，各盟市要围绕全区重点产业布局逐一制定招商方案，力争引进到位资金5700亿元以上，工业投资达到4900亿元左右、增长10%以上。</w:t>
      </w:r>
    </w:p>
    <w:p w14:paraId="2062CD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5C819E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要加快项目建设进度。建成包银高铁，加快建设太锡铁路，扩能改造临哈线、集二线，争取包鄂榆高铁开工；建成S22白永段、S29呼凉高速，开工建设G0616海乌段、G1817乌巴段、S27呼鄂高速；确保呼和浩特盛乐国际机场建成通航，推动科右前旗、科右中旗、乌拉盖通用机场开工建设；加快引黄入呼三期工程，推进河套、镫口等大中型灌区现代化改造，实现引绰济辽一期、二期工程全线通水。对已经谋划的近1400个重点工业项目，要一个一个盯前期、盯要素、盯落地，加快推进中石化煤制烯烃、荣盛煤化一体化、赛盛新材料、远景零碳电池等一批百亿级项目，确保早一天开工、早一天达产。</w:t>
      </w:r>
    </w:p>
    <w:p w14:paraId="5202B3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73429B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（二）坚持供需两端协同发力，想方设法提振消费。</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消费一直是我区的短板，必须大力实施提振消费专项行动，充分挖掘内在潜力。</w:t>
      </w:r>
    </w:p>
    <w:p w14:paraId="29C962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45660D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要紧紧抓住国家加力扩围实施“两新”政策的机遇。在设备更新上，发挥技术、能耗、排放、安全等标准的牵引作用，推动工业设备、建筑机械、老旧电梯、营运货车等“应换尽换”。特别是盯住区内外风电光伏设备、老旧电机更新迭代需要，借力释放我区永磁电机、新能源装备制造等优势产能。在消费品以旧换新上，把促消费与惠民生结合起来，简化补贴申领程序，全面激发新能源汽车、智能家居、数码产品等领域消费意愿和需求。</w:t>
      </w:r>
      <w:r>
        <w:rPr>
          <w:rFonts w:hint="eastAsia" w:ascii="Microsoft YaHei UI" w:hAnsi="Microsoft YaHei UI" w:eastAsia="Microsoft YaHei UI" w:cs="Microsoft YaHei UI"/>
          <w:i w:val="0"/>
          <w:iCs w:val="0"/>
          <w:caps w:val="0"/>
          <w:spacing w:val="8"/>
          <w:kern w:val="0"/>
          <w:sz w:val="24"/>
          <w:szCs w:val="24"/>
          <w:bdr w:val="none" w:color="auto" w:sz="0" w:space="0"/>
          <w:lang w:val="en-US" w:eastAsia="zh-CN" w:bidi="ar"/>
        </w:rPr>
        <w:br w:type="textWrapping"/>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要紧紧抓住以人为本的新型城镇化的机遇。全区有280万农牧民在城镇转移就业，要实施好新一轮农牧业转移人口市民化行动，推动转移支付、要素配置等与农牧业转移人口市民化挂钩，在住房、教育、医疗、社保、交通等方面提供更好服务。群众对“好房子、好小区”充满期待，要提升住房建设和物业管理水平，推广老旧小区自主更新、房地产现房销售等新模式，因城施策出台购房激励政策，充分释放刚性和改善性住房需求。要进一步改善居民生活环境，加快建设宜居韧性智慧城市，着力推动市政基础设施数字化改造、智能化升级，改造老旧小区1291个、各类管网1500公里，以市场化模式再建设一批便民充电桩。</w:t>
      </w:r>
    </w:p>
    <w:p w14:paraId="6C728F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2960A0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要紧紧抓住民生服务需求增长带来的机遇。我区60岁以上老年人平均每年新增30万，还有63万失能老人、158万残疾人、40万3岁以下婴幼儿，养老、育幼、照护、家政等服务是有需求的，关键问题是高质量供给不足，“好阿姨”、“好护工”不好找、用不起、留不住，有保障有品质的专业机构也不多。要围绕养老托育、家政服务等领域，开展大规模、针对性强的职业教育和技能培训，打造一批信得过的专业机构、叫得响的服务品牌。要重视发展银发经济，聚焦老年人多样化需求，丰富旅居养老、商业养老、互助养老、医养结合等业态，进一步增进老年人福祉。儿童消费往往“一人带全家”，要顺应科学育儿、亲子服务、主题游乐等消费趋势，创新场景业态，提升服务品质。</w:t>
      </w:r>
    </w:p>
    <w:p w14:paraId="517A2D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4F997A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要紧紧抓住国内大循环带来的机遇。内蒙古人口相对少、消费能力有限，抓消费既要盯区内、也要盯区外。我区1100多种“蒙”字标好产品，在全国有市场、有需求，关键要适应现代消费新趋势，用好直播带货、短视频营销、首发首店等新模式，把我区绿色特色高品质的产品推向全国。我区每年接待游客近3亿人次，这些送上门来的消费还有很大潜力可挖，要开发更多带有“内蒙古味道”的服装服饰、手工艺品、文创商品、绿色美食，让每一位游客都能带走一份称心如意的“伴手礼”。各地都要下功夫吸引周边地区更多人来我区旅游消费，享受我们的服务、购买我们的产品，既打卡又刷卡。大力发展会展经济，做好以展促销、以展促商、产展融合，更好拉动消费、集聚产业。</w:t>
      </w:r>
    </w:p>
    <w:p w14:paraId="7CD4F1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07AE37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（三）持续推进科技“突围”工程，加快培育发展新质生产力。</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不创新就没有出路、更没有未来。要坚持教育科技人才一体化发展，以科技创新引领现代化产业体系建设、赋能高质量发展。</w:t>
      </w:r>
    </w:p>
    <w:p w14:paraId="68EA6A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46F700E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科技创新贵在持之以恒、久久为功。要贯彻落实全区科技工作会议部署要求，加大财政科技投入，执行好20%的刚性增长机制，带动企业、高校、科研院所加强科技研发、增加经费投入。要围绕点位抓“突围”，在去年布局5个点位基础上，今年在人工智能+、低空经济、生物技术等领域再启动一批新点位，聚集优势资源，加大攻关力度，尽快取得核心技术突破，力争做到“起跑即领先”。要围绕产业短板抓创新，产业发展的瓶颈，就是创新的着力点。要以技术创新打通产业链的堵点断点，加快组建由龙头企业牵头的重点产业链创新联合体，健全创新型中小企业、专精特新企业、“小巨人”企业、单项冠军企业梯度培养体系，力争规上工业企业研发活动全覆盖。要用足用好科创平台，持续壮大“国家队”，全力争取怀柔国家实验室内蒙古基地、呼包鄂国家自主创新示范区、国家草业技术创新中心获批落地；做强做优“地方队”，建设好大青山实验室、鄂尔多斯实验室，组建鹿城实验室，特别是发挥好“蒙科聚”总平台总枢纽作用，力争技术合同交易额突破百亿。发达省份研发能力强，但我区应用场景多。自治区党委部署区域合作深化行动，我们要把科技创新合作作为重要内容，建设一批双向科创飞地，落地一批标志性合作项目，让更多科技成果在我区转化应用。</w:t>
      </w:r>
    </w:p>
    <w:p w14:paraId="3E4AA3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28F5E55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人才是科技创新的根基。要以“英才兴蒙”工程为统领，聚焦我区发展需要，精心引才、真心留才、悉心用才，在科研经费支持、创新引才方式、建立绿色通道、强化薪酬激励、职称评聘倾斜等方面综合施策，让好政策实实在在落地见效。教育是育才的根本途径。高等教育要加大一流学科建设力度，继续支持内蒙古大学“双一流”建设，聚焦乳业、稀土、能源等领域推动建设高等研究院；职业教育要同区域发展相协调、产业布局相衔接，建好建强市域产教联合体、行业产教融合共同体，支持内蒙古建筑职业技术学院、呼和浩特职业技术学院、兴安职业技术学院整合资源设立职业本科。</w:t>
      </w:r>
    </w:p>
    <w:p w14:paraId="123535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1F96A56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（四）优化调整产业布局，加快构建优势特色现代化产业体系。</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我区幅员辽阔、地广人稀、生产要素相对分散，产业发展必须坚持生态优先、绿色发展导向不动摇，必须坚持全区“一盘棋”，要整合设立百亿产业基金，精心打造十大产业集群，加快推进高水平工业园区建设，推动集中集聚集约发展，构建布局合理、规范有序、充满活力的产业发展新格局。</w:t>
      </w:r>
    </w:p>
    <w:p w14:paraId="066FC5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2C58FFF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推动走在全国前列的产业保持领先地位，抢占新的制高点。我区乳业、稀土新材料、现代煤化工已入选国家级先进制造业集群，要加速向世界级迈进。乳业要提升国际竞争力，支持伊利、蒙牛两大乳企推进全球化战略，特别是着力优化产品结构，加快布局奶酪、乳清、乳铁蛋白等精深加工产业，扩大奶粉、酸奶、冰品市场份额，力争乳业产业链产值突破2500亿元。稀土要锚定“两个稀土基地”建设目标，做好“由矿变土”、“由土变材”、“由材变用”的文章，完善全链条稀土产业计量标准认证体系，拓展“稀土+”产业耦合发展空间，力争全产业链产值突破1300亿元。现代煤化工要加快煤基新型合成材料、先进碳材料、可降解材料等高端化产品技术开发应用，推动煤化工与绿电、绿氢等耦合发展，高水平建设鄂尔多斯国家现代煤化工示范区，加快推进国能煤制油、宝丰煤制烯烃、久泰新材料等项目建设，力争煤化工产业链产值稳定在千亿元以上。我区是国家八大算力枢纽节点和十大数据中心集群之一，要瞄准“国内领先”的目标，推进国家算电协同发展试点建设，加快上游IT软硬件设备、中游算力网络及平台、下游应用场景全产业链条发展，加快华为、火山引擎、世纪互联、中金数据等智算中心建设，打造服务全国的绿算保障基地、数据加工基地、大模型训练基地，力争算力规模突破20万P、智算规模保持全国第1位，新建数据中心绿电比例不低于80%。大力推进产业数字化，加快推动制造业智改数转，实现规上工业企业数字化改造全覆盖。</w:t>
      </w:r>
    </w:p>
    <w:p w14:paraId="4045EF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3EC700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推动有特色、有优势的产业尽快做大做强，形成新的增长引擎。要巩固好新能源产业领先地位。一方面要加快推进沙戈荒大基地和蒙西至京津冀、库布其至上海、腾格里至江西、乌兰布和至京津冀鲁外送通道建设，力争新增并网4000万千瓦、发电量超3000亿度。另一方面要坚持源网荷储一体化，大力推动消纳场景应用，确保新能源利用率保持在90%以上。重点抓好五件事：一是加快发展新型储能，开工建设阿拉善新远景等35个新型储能项目，力争新开工装机1000万千瓦、新投产600万千瓦。二是加大绿电替代，带动铁合金、钢铁、铜、铝、锂等新型合金材料产业绿色转型，建设全国最大的绿色高载能产业集聚区。三是加快推进绿电变绿氢绿氨绿醇，打造氢能产业先行区，建设乌兰察布至燕山石化输氢管道、赤峰至锦州港至上海绿氢走廊，开展锡林郭勒至曹妃甸输氢管道前期工作，支持盟市建设绿色氢氨醇、氢能应用基地。四是坚持风光氢储全链条发展，做强新能源装备制造业，聚焦发电机、变流器、逆变器、系统集装箱等核心零部件，重点实施113个延链补链项目，力争新能源装备制造业产值突破2700亿元。五是做好新能源运维服务业，创新发展技术咨询、智能维护、自动化监测诊断等业务，提高运维效率，打造高端服务品牌。要做优绿色农畜产品加工业。牛羊肉、马铃薯、玉米、羊绒、草业是我们发展多年的特色产业，要持续深耕，促进种养加销全链条发展，推动肉羊、玉米2个千亿级产业链提质增效，肉牛、草业2个产业链加快跨过千亿级，马铃薯、羊绒2个产业链向千亿级迈进。</w:t>
      </w:r>
    </w:p>
    <w:p w14:paraId="6AEEAE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276D35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推动有潜力、有条件的产业加快培育，争取早日形成新赛道新动能。低空经济要抓住低空飞行器制造、低空飞行服务保障、低空多元应用三个关键领域，筹建内蒙古低空经济研究院，加快建设低空飞行器试飞测试基地，梳理发布低空装备产业链招商图谱，推动内蒙古电力航检中心、民用无人机考试中心、中国融通无人机物流调度中心等项目落地，示范推广低空+物流、文旅、应急、环保等应用场景，以呼和浩特航天开发区为牵引，培育呼包鄂低空经济发展圈，打造赤通锡低空应用集聚区和乌阿海满、乌兰察布低空旅游集聚区。人工智能要做好研发、制造和应用，支持呼和浩特发展智能控制器、智能传感器、智能软件等关键软硬件设备，打造人工智能产业基地。加快智慧矿山、智慧电力、智慧农业、智慧文旅、智慧医疗、智慧教育、智慧物流等领域应用创新。推动生产场景智能化改造，加快高危、高劳动强度及作业环境差的生产单元“机器换人”。生物制造要聚焦生物医药和生物发酵两大领域，打造呼和浩特全球领先的兽用疫苗研发生产基地，加快呼和浩特、通辽、赤峰、巴彦淖尔等地区原料药和化学药发展，推动原料药向高品质成品药和制剂转变，打造饮片、制剂、配方颗粒特色中蒙药产业链。完善淀粉、小品种氨基酸、乳酸菌及其发酵制品产业链。新型合金材料要发挥铁合金、钢铁、铜、铝、锂等资源和产业优势，向高性能复合材料延链补链，拓展在交通、航天航空、装备制造等领域应用。</w:t>
      </w:r>
    </w:p>
    <w:p w14:paraId="19CDE3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722683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（五）努力把农牧业打造成现代化大产业，加快建设现代化新农村新牧区。</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坚持产量产能、生产生态、增产增收一起抓，努力把肥沃的土地、广袤的草原、清洁的河水变为生产力和竞争力，以农牧业的高质量发展助推乡村全面振兴。</w:t>
      </w:r>
    </w:p>
    <w:p w14:paraId="50A2DA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4EBDCE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大力实施单产提升行动。严守耕地保护红线，稳定粮食播种面积，新建高标准农田850万亩、黑土地保护性耕作2500万亩，新增设施农业25万亩，打造主要作物单产提升示范区1000万亩、“吨粮田”900万亩，粮肉奶产量分别稳定在800亿斤、60亿斤、160亿斤以上。</w:t>
      </w:r>
    </w:p>
    <w:p w14:paraId="53DAE4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6E1CD1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加快推进草原畜牧业转型升级。解决草原过牧问题，关键是转变生产方式。要深入总结试点旗县经验，在享受草原生态保护补奖政策的旗县全面推开，同步开展整建制禁牧试点工作，因地制宜推广舍饲半舍饲、托管代养等模式，推动畜牧业生产方式由“多养”向“精养”转变，多措并举保障农牧民“禁牧不减收”，新建舍饲棚圈500万平方米以上，力争设施畜牧业养殖比重达到75%，天然草原草畜平衡指数降到10%以下。</w:t>
      </w:r>
    </w:p>
    <w:p w14:paraId="4A098E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6ADFA3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我区很多好东西卖不上好价钱，关键是精深加工不够。要一手抓精深加工，开展农副食品加工业培育壮大行动，围绕乳制品、牛羊肉等10个品类，大力引育链主企业、龙头企业，推动产业链向终端和高端延伸，力争主要农畜产品加工转化率达到75%以上。一手抓品牌营销，深化拓展“蒙”字标认证，持续做强精品区域公用品牌和企业产品品牌，面向全国布局一批营销中心和前置仓，让来自大草原的好味道走向全国。</w:t>
      </w:r>
    </w:p>
    <w:p w14:paraId="031E67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7638EC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乡村振兴一头连着发展大局，一头连着民生福祉。要学习运用“千万工程”经验，实施数字乡村强农惠农富农专项行动，深入开展防止返贫就业攻坚行动，持续巩固拓展脱贫攻坚成果，确保脱贫地区农牧民人均可支配收入增速不低于全区和全国平均水平，守住不发生规模性返贫致贫的底线。稳妥推进第二轮土地承包到期后再延长30年试点，统筹推进林业、农垦和供销社等改革。以发展富民产业壮大县域经济，发展庭院经济、林下经济、民宿经济，扩大“以工代赈”范围，把“三北”工程、高标准农田建设等做成“富民工程”，引导企业就近就地用工，努力让群众多渠道就业增收。推动基础设施向乡村延伸，统筹抓好用水、用电、通车、通网等建设，新建农村公路5000公里，确保“快递进村”通达率达到97%以上，鼓励有条件的地方建设公共充换电设施。加强乡村环境治理，一体抓好农业面源污染、生活垃圾和污水治理，确保受污染耕地安全利用率稳定在98%以上、畜禽粪污综合利用率达到83%以上，创建好国家级美丽休闲乡村、绿化美化示范村。</w:t>
      </w:r>
    </w:p>
    <w:p w14:paraId="4E4719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4757C1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（六）以北疆文化建设提升行动为引领，把文旅业打造成支柱产业。</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北疆文化是一座“精神富矿”，要坚持以文塑旅、以旅彰文，推动文化、旅游、体育、赛事、演艺、会展、商业融合发展，加快建设文旅强区。</w:t>
      </w:r>
    </w:p>
    <w:p w14:paraId="07C1F8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521BEA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北疆文化蕴含着内蒙古的历史人文之美、风景风情之美，要持续开展“北疆文化神州行”活动，支持乌兰牧骑等文艺团体到全国乃至国外展演，广泛宣传好我区丰富的历史文化遗产和红色资源，充分展示北疆文化的独特魅力。文物古迹是老祖宗留下来的宝贵遗产，必须保护好、传承好、利用好，要扎实做好第四次全国文物普查工作，严格落实工程建设文物前置审查制度，加大考古研究力度，推动红山文化联合申遗，为中华文明探源作出贡献。文艺作品是北疆文化最生动的载体，要推进国有文艺院团和文化事业单位体制改革，对重点文艺项目和精品加大扶持、奖励力度，充分激发文艺工作者创作热情，推出更多精品力作、冲击更多国内外大奖。现在文博热、非遗潮成为新时尚，要顺应这种趋势，在大型节庆、各类展陈、文旅活动中嵌入北疆文化元素和标识，加强创意设计和科技赋能，打造更多独具特色的文化“打卡地”。</w:t>
      </w:r>
    </w:p>
    <w:p w14:paraId="786720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2698633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内蒙古旅游资源丰富，但“酒香也怕巷子深”，要把草原森林、沙漠戈壁、河湖湿地等好地方宣传好，把“长城内外是故乡”、“美丽的草原我的家”等好故事呈现好，做强品牌、做精业态，吸引更多人来到内蒙古、爱上内蒙古，力争游客数量突破3亿人次。旅游的魅力在于体验感强、玩得开心，要升级打造旅游“四地”IP，擦亮叫响畅游“四季”名片，做优做精现代草原发现之旅、金色沙漠穿越之旅、冰雪世界童话之旅等旅游线路，把呼和浩特演唱会和跨年夜、阿拉善英雄会、呼伦贝尔冬季英雄会、乌兰察布之夜、鄂尔多斯“草原村排”等品牌越做越响亮。特别是精心谋划“自驾大草原、旅居内蒙古”活动，打造中国最美边疆路331，把沿途的一颗颗“珍珠”串成“项链”，让自驾和旅居成为内蒙古的文旅新亮点。加快创建包头历史文化名城、兴安盟世界级旅游度假区、巴丹吉林世界级旅游景区、乌拉盖九曲湾5A级景区，支持老牛湾黄河大峡谷申报世界地质公园。冰雪经济是万亿级新赛道，要一体推进冰雪运动、冰雪文化、冰雪装备、冰雪旅游等全业态发展，广泛开展群众性、表演性、竞技性冰雪运动。精心举办单板滑雪平行大回转世界杯和全国自由式滑雪、短道速滑锦标赛等冰雪赛事，办好中国冷极马拉松、全国曲棍球锦标赛、全区少数民族传统运动会、锡林郭勒马超联赛等特色赛事，让更多的人跟着赛事来旅行。</w:t>
      </w:r>
    </w:p>
    <w:p w14:paraId="5783F5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4F6DF06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（七）狠抓助企行动，真心实意为企业解难题。</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一个地方经济发展，归根结底要靠企业唱主角。无论是国有企业还是民营企业，都是政府服务的对象，助企行动就是要把企业家当家人、把企业事当家事，政企携手共谋发展。</w:t>
      </w:r>
    </w:p>
    <w:p w14:paraId="1801D1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5DAB33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区属国有企业要扭亏为盈、提质增效，“一企一策”定措施、拿办法、盯实效。包钢集团要全力突围，在稳经营、调结构、提效益上下功夫，力争营收达到1200亿元。北方稀土要聚焦“两个稀土基地”建设，保持产值市值、营收利润稳居行业第1位。电力集团要实施好“强网”行动，全面建成“四横六纵”500千伏主干网架，加快新型电力系统建设，为全区绿色发展作更多贡献。蒙能集团要当好我区能源企业的“顶梁柱”，力争电力总装机超过4500万千瓦，加快向资产、营收“双千亿”目标迈进。交通集团要对标行业领军企业，全面提升资质等级，努力开拓区内外市场，力争进入中国企业500强。森工集团、文旅集团、国贸集团、林草生态公司等区属国有企业，都要加大改革突围力度，对标一流、学习先进，提高经营业绩和市场竞争力，尽快做大做强。</w:t>
      </w:r>
    </w:p>
    <w:p w14:paraId="3FBCDF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221CAD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民营企业现在发展非常不容易，生产经营中遇到了诸多困难和问题，要在项目落地、政策支持、融资贷款等方面加大帮扶力度，尤其是要严格落实面向中小企业预留政府采购份额的政策要求。办事慢、检查多、融资难是民营企业特别是中小微企业的“心病”，要像信访代办一样为企业服务，推动审批办事再提速，严格执行限时审批制度；抓好规范涉企执法专项行动，实行体检式监管、服务型执法，不搞既干扰企业又不起作用的过场式执法，坚决整治乱收费、乱罚款、乱检查、乱查封，对趋利性执法发现一起、严查一起；金融机构要在放贷条件和利息水平上“一碗水端平”，落实好无还本续贷等惠企政策。清欠账款是民营企业最关注的事，要开展好摸排工作，确保搞清底数，依法依规加大清欠力度，做到“应付快付、应付尽付”。各级政府特别是领导干部要真诚坦荡同民营企业交往，尤其是在企业遇到困难的时候，更要主动作为、倾心服务。</w:t>
      </w:r>
    </w:p>
    <w:p w14:paraId="09BC5D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02E67A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我区同各大央企有着坚实的合作基础，去年央企在我区投资有所下降，今年一定要追上来。要进一步强化同央企的合作，一家一家地对接，一个项目一个项目地抓落地，让我区资源、产业优势同央企的雄厚实力、先进技术“双向奔赴”，实现更高水平的互利共赢。</w:t>
      </w:r>
    </w:p>
    <w:p w14:paraId="3375F0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4F5A83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诚信建设重在常治长效，今年再推出30个“高效办成一件事”、150项“全区通办”事项，推广“承诺制+全代办”服务模式，开展营商环境领域问题专项整治，实打实地解决限制过多、办事繁琐、承诺不兑现、新官不理旧账等问题，让守信用成为招商引资的核心竞争力，让每一名干部都成为讲诚信的“代言人”。</w:t>
      </w:r>
    </w:p>
    <w:p w14:paraId="491BF9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46E0FA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（八）抓好区域合作深化行动，大力拓展发展新空间。</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无论是对外开放，还是对内开放，都要强化双向交流合作，既要把我区相对短缺的技术、人才、资金、产业引进来，也要把我区具有优势的绿电、绿算、绿食以及独特的北疆文化送出去。</w:t>
      </w:r>
    </w:p>
    <w:p w14:paraId="39EF1E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6E6883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对外要扩大高水平开放。立足俄蒙、但不局限于俄蒙，抓住自贸区创建的契机，加快推进更高标准的制度型开放，更深层次参与共建“一带一路”和中蒙俄经济走廊建设，深化拓展同东北亚、中亚、欧美、澳新和新兴经济体的合作。要做大外贸盘子，扩大二手车、“新三样”、中间品、农食产品出口规模，培育一批跨境电商企业和产业园，布局一批重点贸易伙伴海外仓，积极推进呼和浩特、乌兰察布中欧班列集散中心建设，提高班列货源集散能力和回程满载率，力争到发中欧班列突破500列、口岸货运量超过1.3亿吨、外贸进出口总额超过2200亿元。我区有20个对外开放口岸，要着力提升口岸功能，建设好中蒙二连浩特—扎门乌德经济合作区，实施好满洲里铁路口岸准轨增二线、二连浩特公路口岸第二通道、满都拉口岸通道扩建、甘其毛都口岸跨境铁路大桥等重点项目，完成满洲里、二连浩特智慧口岸试点建设。要强化口腹联动、落地转化，深入研究出口商品上游来向和进口商品下游去向，加快发展焦煤、铁矿石、粮油、钾肥、木材、萤石、羊绒等落地加工产业，有效解决“酒肉穿肠过”问题。各综合保税区要找准自身短板，制定有针对性的提升方案，加快晋位升级。</w:t>
      </w:r>
    </w:p>
    <w:p w14:paraId="61F511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05B052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对内要深化区域间合作。进一步密切同京津冀、长三角、粤港澳大湾区和东三省等地区的合作，积极承接产业转移，在能源、资源、算力等方面与经济大省加强合作，特别是为发达地区科研成果转化提供丰富的应用场景。要全方位拓展京蒙合作，持续开展“六个倍增计划”和“四项行动”，在新型储能、绿氢绿氨、绿色算力、防沙治沙、现代农牧业等方面形成一批新成果。</w:t>
      </w:r>
    </w:p>
    <w:p w14:paraId="3F59CE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6DCADE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区内要坚持差异化协调发展。东部五盟市要鼓起“重振雄风”的壮志，联合打造新的发展优势。赤峰、通辽要当好领头羊，率先跑出振兴发展的加速度。呼包鄂乌既要为全区高质量发展挑大梁、作贡献，也要在群众高品质生活和社会高水平治理上走在前、作表率，以呼包鄂乌同城化合力打造拉动全区发展的主引擎。西部三盟市要加强生态环境保护修复，加快改造提升传统产业，共同培育接续替代产业。乌海及周边地区要强化大气污染联防联控联治，完善工业园区管理机制，提升发展整体效能。巴彦淖尔要用好国家农高区平台，把河套灌区建成名副其实的“塞外粮仓”，打造现代农牧业新高地。</w:t>
      </w:r>
    </w:p>
    <w:p w14:paraId="3ACB57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2D6CED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（九）以治沙和节水为牵引，全力推动生态安全屏障建设。</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筑牢我国北方重要生态安全屏障，是我们必须牢记的“国之大者”，要始终把生态环境保护挺在前头，构建全要素全方位治理格局，以高水平保护支撑高质量发展。</w:t>
      </w:r>
    </w:p>
    <w:p w14:paraId="3328BE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5E9EC3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持续打好“三北”工程攻坚战。推动黄河“几字弯”沿岸防沙锁林带全线贯通，实现巴丹吉林、腾格里沙漠锁边林带“合龙”，完成治沙2000万亩以上，建设穿沙公路2500公里。继续推进防沙治沙和风电光伏一体化工程，新建新能源装机1500万千瓦、治沙140万亩，推动“光伏长城”建设取得标志性成果。</w:t>
      </w:r>
    </w:p>
    <w:p w14:paraId="1B0A72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1BCFB1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深入实施节水行动。我区一方面缺水，一方面用水方式粗放，抓好节水刻不容缓。农业领域关键是抓好高效节水灌溉，深化农业水价综合改革，新建高效节水灌溉面积200万亩，创建节水增粮推进县20个，力争新增节水2.7亿立方米以上。工业领域要突出节水技术改造，所有开发区都要大力推广先进节水技术，新上项目水效不得低于国家行业用水先进值，确保万元GDP用水量、万元工业增加值用水量完成“十四五”控制目标。生活节水要精打细算，开展城市供水能力提升行动，改造建设一批节水设施，打造智能节水管理平台，加快把城市公共供水管网漏损率降下来、把农村牧区供水工程计量率提上来。用好非常规水也是节水，实施再生水利用行动，力争黄河流域再生水利用率达到60%以上、矿井疏干水利用率达到70%以上。</w:t>
      </w:r>
    </w:p>
    <w:p w14:paraId="33E3B9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40DD78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统筹打好蓝天碧水净土保卫战。紧盯中央和自治区生态环保督察及自治区黄河流域专项督查，持续狠抓问题整改，坚决杜绝同类问题反复发生。深化呼包鄂、乌海及周边地区大气污染防治，落实重污染天气应急管控措施，推进重点行业污染深度治理。巩固河湖库“清四乱”成果，加强“一湖两海”及察汗淖尔保护治理，开工建设黄河内蒙古段河道治理工程，试点推进乌海湖库区清淤及矿区生态修复一体化治理，促进西辽河流域生态复苏。加强重点排污单位土壤污染隐患排查，持续开展农业“四控”行动，加强盐碱地改造利用。</w:t>
      </w:r>
    </w:p>
    <w:p w14:paraId="3ED793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62C81F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促进节能降碳绿色发展。加快工业领域节能技术推广应用，主动参与全国碳市场建设，建立适应碳排放“双控”的政策体系，推动2.0版零碳园区建设，扩大林草碳汇开发交易规模。加强资源循环利用，我区风电光伏设备即将迎来“退役潮”，要高效做好回收利用，支持建设包头风电退役装备资源化再利用示范区、鄂尔多斯高铝粉煤灰和再生铝资源利用基地、锡林郭勒工业固废综合利用基地，在多个领域实现“变废为宝”。</w:t>
      </w:r>
    </w:p>
    <w:p w14:paraId="54AB0B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5C8DDF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（十）以实施就业促进行动为重点，办好民生实事。</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去年我区基本民生保障标准全部达到或超过全国平均水平，今年再难也要确保标准不降、落实到位，兜牢困难群众基本民生底线，优化就业、教育、医疗等公共服务供给。</w:t>
      </w:r>
    </w:p>
    <w:p w14:paraId="33A2C5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40DFFB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就业是最大的民生，要多措并举推动产业与就业互促共进。我区近万亿元的重大项目投资中，产业投资占比近七成，但是带动本地就业并不多，既“有人没活干”、也“有活没人干”。各级政府要把就业促进行动作为头等大事，抓招商引资、抓产业落地要同步考虑如何带动更多本地就业，研究企业用地、用能等要素保障要同步研究用工需求，提前做好技能培训、就业指导，让企业用工和人才供给同步推进、无缝衔接。各高校要突出就业导向，精准调整优化专业设置，市场需要什么人就培养什么人、输送什么人。特殊群体的就业需要格外关注、重点保障，要加强对大龄、残疾、较长时间失业等就业困难群体的帮扶，做好退役军人、妇女等群体就业服务保障，确保“零就业家庭”动态清零。</w:t>
      </w:r>
    </w:p>
    <w:p w14:paraId="545F5B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047376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教育是最基本的民生需求，没有良好的教育既留不住人才也留不住人口。学前教育重点抓普及普惠，也要做好托育服务，帮助年轻人解决后顾之忧。义务教育关键是优质均衡发展，解决不平衡问题，通过强校带弱校、城乡对口支援、集团化办学等机制，逐步缩小城乡、区域、校际、群体教育差距。尤其是原民族语言授课学校要深化与优质普通学校结对共建，带动提升教育水平。高中阶段教育要突出特色化多样化办学，分类建设一批自治区示范高中、县域优质高中、特色高中，促进学生全面发展。要采取绿色通道等政策，引进和培养更多好老师、好校长，特别是用好京蒙协作平台，吸引更多京师来内蒙古发展。要做好关心下一代工作，助力青少年德智体美劳全面发展。</w:t>
      </w:r>
    </w:p>
    <w:p w14:paraId="07FD84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05F3A0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要让群众在家门口就能看好病。推动优质医疗资源扩容下沉，建设好运营好北大肿瘤医院、北京友谊医院、北京宣武医院、北京中医医院内蒙古医院4个国家区域医疗中心，高质量建设紧密型城市医疗集团和县域医共体，打造一批特色重点专科。要促进医疗、医保、医药协同发展和治理，稳妥推进基本医疗保险自治区统筹，强化医保基金常态化监管，守好老百姓的看病钱。促进中蒙医药创新发展，建设更多便民中医馆、蒙医馆，满足群众多样化医养需求。</w:t>
      </w:r>
    </w:p>
    <w:p w14:paraId="65BFF1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6D03E5C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w:t>
      </w:r>
      <w:r>
        <w:rPr>
          <w:rStyle w:val="8"/>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（十一）更好统筹发展和安全，坚决筑牢祖国北疆安全稳定屏障。</w:t>
      </w: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维护好祖国北疆安全，是习近平总书记交给内蒙古的重大政治任务，我们要不辱使命抓好落实。</w:t>
      </w:r>
    </w:p>
    <w:p w14:paraId="0F7718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730DEA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要守好安全生产底线。紧紧扭住重预防、强基础、严监管、提能力四个关键，深化安全生产治本攻坚行动，开展安全生产和自然灾害风险隐患排查整治，狠抓矿山、危化品、城镇燃气、电动自行车等重点领域问题整改，动态清零重大事故隐患，尽最大努力防范各类重大安全事故发生。建设大兴安岭森林草原防灭火示范区。严格食品药品安全监管，保障好群众舌尖上的安全。</w:t>
      </w:r>
    </w:p>
    <w:p w14:paraId="268775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5B5055D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要守好重点领域风险底线。政府债务化解任务依然艰巨，要坚定不移完成今年目标，绝不能新增隐性债务。用好置换债券政策，继续优化“四个一批”举措支持基层化债，压降地方政府融资平台数量，压实基层“三保”责任，保障基层财政平稳运行。稳妥处置金融风险，推动地方高风险金融机构“退高摘帽”，坚决防止“爆雷”。落实促进房地产市场止跌回稳政策，稳妥化解房地产风险，完成好保交楼、保交房任务。</w:t>
      </w:r>
    </w:p>
    <w:p w14:paraId="0ED798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13F6A5E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要守好社会稳定底线。坚持和发展新时代“枫桥经验”，开展信访工作法治化质效提升年活动，健全五级贯通的信访代办体系，全面推广“两代表一委员”12345热线疑难工单督办回访机制。开展化解矛盾风险维护社会稳定专项行动，及时解决群众诉求，把各种不稳定因素化解在源头，严防个人极端事件、群体性事件发生。常态化推进扫黑除恶斗争，严厉打击各类违法犯罪活动，切实维护社会大局和谐稳定。</w:t>
      </w:r>
    </w:p>
    <w:p w14:paraId="0361E7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1F835C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边疆民族地区一直是党中央牵挂的地方，要深入推进新时代兴边富民行动，开展边境中心镇建设试点，聚焦用水用电、清洁能源利用、村容村貌改善等领域，加快补齐公共服务短板，进一步改善边民生产生活条件，让边境群众安居乐业、安心守边。巩固发展新时代军政军民团结，更好服务保障国防和军队建设，提高卫国戍边整体能力。</w:t>
      </w:r>
    </w:p>
    <w:p w14:paraId="779CD6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010105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各位代表！面对新形势、新任务，政府工作要有新提升、新作为。首要的一条就是旗帜鲜明讲政治，始终做到对党绝对忠诚，坚定拥护“两个确立”，坚决做到“两个维护”，坚持党中央集中统一领导，坚决贯彻党中央决策部署，全面落实自治区党委工作要求，严格落实意识形态工作责任制。要一心一意谋发展，锚定闯新路进中游目标，鼓足干劲、奋勇争先，把我区来之不易的良好势头保持下去。要真心实意解难题，深入基层一线把情况摸实、把问题摸准，拿出实招硬招解决好群众的烦心事、企业的期盼事、基层的困难事。既要依法行政、也要紧抓快办，法律法规禁止的坚决不做，在合法合规前提下优化行政流程，提高办事效率，只争朝夕做好每一项工作。自觉接受人大、政协等各方面监督，不折不扣抓好中央巡视、责任审计及各类监督检查反馈问题整改。廉洁自律是每一名政府工作人员必须坚守的底线，要严守党的各项纪律规定，树牢正确权力观、政绩观、事业观，在遵规守纪中改革创新、担当作为，决不辜负群众的信任，决不辜负组织的培养和重托。</w:t>
      </w:r>
    </w:p>
    <w:p w14:paraId="529F51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054654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各位代表！内蒙古自古以来就是多民族聚居地区，生活在这里的人们，像爱护自己的眼睛一样爱护民族团结、像珍视自己的生命一样珍视民族团结。我们要全面贯彻铸牢中华民族共同体意识工作主线，全面落实“七个作模范”要求，常态化开展“感党恩、听党话、跟党走”群众教育，让“六句话的事实和道理”更加深入人心。我们坚信，只要坚定不移沿着习近平总书记指引的方向实打实干，只要各族人民像石榴籽一样紧紧抱在一起，守望相助、团结奋斗，就一定能让“模范自治区”这面旗帜绽放更大荣光！</w:t>
      </w:r>
    </w:p>
    <w:p w14:paraId="785B80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color w:val="000000"/>
          <w:spacing w:val="7"/>
          <w:sz w:val="27"/>
          <w:szCs w:val="27"/>
        </w:rPr>
      </w:pPr>
    </w:p>
    <w:p w14:paraId="0DEFAF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jc w:val="both"/>
        <w:textAlignment w:val="auto"/>
      </w:pPr>
      <w:r>
        <w:rPr>
          <w:rFonts w:hint="eastAsia" w:ascii="Microsoft YaHei UI" w:hAnsi="Microsoft YaHei UI" w:eastAsia="Microsoft YaHei UI" w:cs="Microsoft YaHei UI"/>
          <w:i w:val="0"/>
          <w:iCs w:val="0"/>
          <w:caps w:val="0"/>
          <w:color w:val="000000"/>
          <w:spacing w:val="7"/>
          <w:kern w:val="0"/>
          <w:sz w:val="27"/>
          <w:szCs w:val="27"/>
          <w:bdr w:val="none" w:color="auto" w:sz="0" w:space="0"/>
          <w:lang w:val="en-US" w:eastAsia="zh-CN" w:bidi="ar"/>
        </w:rPr>
        <w:t>　　各位代表！蒙古马精神是跑出来的，三北精神是拼出来的，亮丽内蒙古是干出来的。让我们更加紧密地团结在以习近平同志为核心的党中央周围，在自治区党委带领下，坚定信心、真抓实干，奋力书写中国式现代化内蒙古新篇章！</w:t>
      </w:r>
    </w:p>
    <w:p w14:paraId="098395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Microsoft YaHei UI" w:hAnsi="Microsoft YaHei UI" w:eastAsia="Microsoft YaHei UI" w:cs="Microsoft YaHei UI"/>
          <w:i w:val="0"/>
          <w:iCs w:val="0"/>
          <w:caps w:val="0"/>
          <w:spacing w:val="0"/>
          <w:sz w:val="21"/>
          <w:szCs w:val="21"/>
        </w:rPr>
      </w:pPr>
      <w:r>
        <w:rPr>
          <w:rFonts w:hint="eastAsia" w:ascii="Microsoft YaHei UI" w:hAnsi="Microsoft YaHei UI" w:eastAsia="Microsoft YaHei UI" w:cs="Microsoft YaHei UI"/>
          <w:i w:val="0"/>
          <w:iCs w:val="0"/>
          <w:caps w:val="0"/>
          <w:color w:val="888888"/>
          <w:spacing w:val="8"/>
          <w:sz w:val="21"/>
          <w:szCs w:val="21"/>
          <w:bdr w:val="none" w:color="auto" w:sz="0" w:space="0"/>
        </w:rPr>
        <w:t>来源：《内蒙古日报》官方微信</w:t>
      </w:r>
    </w:p>
    <w:p w14:paraId="7AA194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0"/>
        <w:jc w:val="both"/>
        <w:textAlignment w:val="auto"/>
        <w:rPr>
          <w:rFonts w:hint="eastAsia" w:ascii="Microsoft YaHei UI" w:hAnsi="Microsoft YaHei UI" w:eastAsia="Microsoft YaHei UI" w:cs="Microsoft YaHei UI"/>
          <w:i w:val="0"/>
          <w:iCs w:val="0"/>
          <w:caps w:val="0"/>
          <w:spacing w:val="0"/>
          <w:sz w:val="21"/>
          <w:szCs w:val="21"/>
        </w:rPr>
      </w:pPr>
      <w:r>
        <w:rPr>
          <w:rFonts w:hint="eastAsia" w:ascii="Microsoft YaHei UI" w:hAnsi="Microsoft YaHei UI" w:eastAsia="Microsoft YaHei UI" w:cs="Microsoft YaHei UI"/>
          <w:i w:val="0"/>
          <w:iCs w:val="0"/>
          <w:caps w:val="0"/>
          <w:spacing w:val="0"/>
          <w:kern w:val="0"/>
          <w:sz w:val="0"/>
          <w:szCs w:val="0"/>
          <w:u w:val="none"/>
          <w:bdr w:val="none" w:color="auto" w:sz="0" w:space="0"/>
          <w:lang w:val="en-US" w:eastAsia="zh-CN" w:bidi="ar"/>
        </w:rPr>
        <w:fldChar w:fldCharType="begin"/>
      </w:r>
      <w:r>
        <w:rPr>
          <w:rFonts w:hint="eastAsia" w:ascii="Microsoft YaHei UI" w:hAnsi="Microsoft YaHei UI" w:eastAsia="Microsoft YaHei UI" w:cs="Microsoft YaHei UI"/>
          <w:i w:val="0"/>
          <w:iCs w:val="0"/>
          <w:caps w:val="0"/>
          <w:spacing w:val="0"/>
          <w:kern w:val="0"/>
          <w:sz w:val="0"/>
          <w:szCs w:val="0"/>
          <w:u w:val="none"/>
          <w:bdr w:val="none" w:color="auto" w:sz="0" w:space="0"/>
          <w:lang w:val="en-US" w:eastAsia="zh-CN" w:bidi="ar"/>
        </w:rPr>
        <w:instrText xml:space="preserve"> HYPERLINK "javascript:;" </w:instrText>
      </w:r>
      <w:r>
        <w:rPr>
          <w:rFonts w:hint="eastAsia" w:ascii="Microsoft YaHei UI" w:hAnsi="Microsoft YaHei UI" w:eastAsia="Microsoft YaHei UI" w:cs="Microsoft YaHei UI"/>
          <w:i w:val="0"/>
          <w:iCs w:val="0"/>
          <w:caps w:val="0"/>
          <w:spacing w:val="0"/>
          <w:kern w:val="0"/>
          <w:sz w:val="0"/>
          <w:szCs w:val="0"/>
          <w:u w:val="none"/>
          <w:bdr w:val="none" w:color="auto" w:sz="0" w:space="0"/>
          <w:lang w:val="en-US" w:eastAsia="zh-CN" w:bidi="ar"/>
        </w:rPr>
        <w:fldChar w:fldCharType="separate"/>
      </w:r>
      <w:r>
        <w:rPr>
          <w:rFonts w:hint="eastAsia" w:ascii="Microsoft YaHei UI" w:hAnsi="Microsoft YaHei UI" w:eastAsia="Microsoft YaHei UI" w:cs="Microsoft YaHei UI"/>
          <w:i w:val="0"/>
          <w:iCs w:val="0"/>
          <w:caps w:val="0"/>
          <w:spacing w:val="0"/>
          <w:kern w:val="0"/>
          <w:sz w:val="0"/>
          <w:szCs w:val="0"/>
          <w:u w:val="none"/>
          <w:bdr w:val="none" w:color="auto" w:sz="0" w:space="0"/>
          <w:lang w:val="en-US" w:eastAsia="zh-CN" w:bidi="ar"/>
        </w:rPr>
        <w:fldChar w:fldCharType="end"/>
      </w:r>
    </w:p>
    <w:p w14:paraId="721DD2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right="0" w:firstLine="0"/>
        <w:jc w:val="both"/>
        <w:textAlignment w:val="auto"/>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5"/>
          <w:szCs w:val="25"/>
          <w:u w:val="none"/>
          <w:bdr w:val="none" w:color="auto" w:sz="0" w:space="0"/>
          <w:lang w:val="en-US" w:eastAsia="zh-CN" w:bidi="ar"/>
        </w:rPr>
        <w:fldChar w:fldCharType="begin"/>
      </w:r>
      <w:r>
        <w:rPr>
          <w:rFonts w:hint="eastAsia" w:ascii="Microsoft YaHei UI" w:hAnsi="Microsoft YaHei UI" w:eastAsia="Microsoft YaHei UI" w:cs="Microsoft YaHei UI"/>
          <w:i w:val="0"/>
          <w:iCs w:val="0"/>
          <w:caps w:val="0"/>
          <w:spacing w:val="8"/>
          <w:kern w:val="0"/>
          <w:sz w:val="25"/>
          <w:szCs w:val="25"/>
          <w:u w:val="none"/>
          <w:bdr w:val="none" w:color="auto" w:sz="0" w:space="0"/>
          <w:lang w:val="en-US" w:eastAsia="zh-CN" w:bidi="ar"/>
        </w:rPr>
        <w:instrText xml:space="preserve"> HYPERLINK "javascript:" </w:instrText>
      </w:r>
      <w:r>
        <w:rPr>
          <w:rFonts w:hint="eastAsia" w:ascii="Microsoft YaHei UI" w:hAnsi="Microsoft YaHei UI" w:eastAsia="Microsoft YaHei UI" w:cs="Microsoft YaHei UI"/>
          <w:i w:val="0"/>
          <w:iCs w:val="0"/>
          <w:caps w:val="0"/>
          <w:spacing w:val="8"/>
          <w:kern w:val="0"/>
          <w:sz w:val="25"/>
          <w:szCs w:val="25"/>
          <w:u w:val="none"/>
          <w:bdr w:val="none" w:color="auto" w:sz="0" w:space="0"/>
          <w:lang w:val="en-US" w:eastAsia="zh-CN" w:bidi="ar"/>
        </w:rPr>
        <w:fldChar w:fldCharType="separate"/>
      </w:r>
      <w:r>
        <w:rPr>
          <w:rFonts w:hint="eastAsia" w:ascii="Microsoft YaHei UI" w:hAnsi="Microsoft YaHei UI" w:eastAsia="Microsoft YaHei UI" w:cs="Microsoft YaHei UI"/>
          <w:i w:val="0"/>
          <w:iCs w:val="0"/>
          <w:caps w:val="0"/>
          <w:spacing w:val="8"/>
          <w:kern w:val="0"/>
          <w:sz w:val="25"/>
          <w:szCs w:val="25"/>
          <w:u w:val="none"/>
          <w:bdr w:val="none" w:color="auto" w:sz="0" w:space="0"/>
          <w:lang w:val="en-US" w:eastAsia="zh-CN" w:bidi="ar"/>
        </w:rPr>
        <w:fldChar w:fldCharType="end"/>
      </w:r>
      <w:r>
        <w:rPr>
          <w:rFonts w:hint="eastAsia" w:ascii="Microsoft YaHei UI" w:hAnsi="Microsoft YaHei UI" w:eastAsia="Microsoft YaHei UI" w:cs="Microsoft YaHei UI"/>
          <w:i w:val="0"/>
          <w:iCs w:val="0"/>
          <w:caps w:val="0"/>
          <w:color w:val="FFFFFF"/>
          <w:spacing w:val="8"/>
          <w:kern w:val="0"/>
          <w:sz w:val="25"/>
          <w:szCs w:val="25"/>
          <w:u w:val="none"/>
          <w:bdr w:val="none" w:color="auto" w:sz="0" w:space="0"/>
          <w:lang w:val="en-US" w:eastAsia="zh-CN" w:bidi="ar"/>
        </w:rPr>
        <w:fldChar w:fldCharType="begin"/>
      </w:r>
      <w:r>
        <w:rPr>
          <w:rFonts w:hint="eastAsia" w:ascii="Microsoft YaHei UI" w:hAnsi="Microsoft YaHei UI" w:eastAsia="Microsoft YaHei UI" w:cs="Microsoft YaHei UI"/>
          <w:i w:val="0"/>
          <w:iCs w:val="0"/>
          <w:caps w:val="0"/>
          <w:color w:val="FFFFFF"/>
          <w:spacing w:val="8"/>
          <w:kern w:val="0"/>
          <w:sz w:val="25"/>
          <w:szCs w:val="25"/>
          <w:u w:val="none"/>
          <w:bdr w:val="none" w:color="auto" w:sz="0" w:space="0"/>
          <w:lang w:val="en-US" w:eastAsia="zh-CN" w:bidi="ar"/>
        </w:rPr>
        <w:instrText xml:space="preserve"> HYPERLINK "javascript:" </w:instrText>
      </w:r>
      <w:r>
        <w:rPr>
          <w:rFonts w:hint="eastAsia" w:ascii="Microsoft YaHei UI" w:hAnsi="Microsoft YaHei UI" w:eastAsia="Microsoft YaHei UI" w:cs="Microsoft YaHei UI"/>
          <w:i w:val="0"/>
          <w:iCs w:val="0"/>
          <w:caps w:val="0"/>
          <w:color w:val="FFFFFF"/>
          <w:spacing w:val="8"/>
          <w:kern w:val="0"/>
          <w:sz w:val="25"/>
          <w:szCs w:val="25"/>
          <w:u w:val="none"/>
          <w:bdr w:val="none" w:color="auto" w:sz="0" w:space="0"/>
          <w:lang w:val="en-US" w:eastAsia="zh-CN" w:bidi="ar"/>
        </w:rPr>
        <w:fldChar w:fldCharType="separate"/>
      </w:r>
      <w:r>
        <w:rPr>
          <w:rFonts w:hint="eastAsia" w:ascii="Microsoft YaHei UI" w:hAnsi="Microsoft YaHei UI" w:eastAsia="Microsoft YaHei UI" w:cs="Microsoft YaHei UI"/>
          <w:i w:val="0"/>
          <w:iCs w:val="0"/>
          <w:caps w:val="0"/>
          <w:color w:val="FFFFFF"/>
          <w:spacing w:val="8"/>
          <w:kern w:val="0"/>
          <w:sz w:val="25"/>
          <w:szCs w:val="25"/>
          <w:u w:val="none"/>
          <w:bdr w:val="none" w:color="auto" w:sz="0" w:space="0"/>
          <w:lang w:val="en-US" w:eastAsia="zh-CN" w:bidi="ar"/>
        </w:rPr>
        <w:fldChar w:fldCharType="end"/>
      </w:r>
    </w:p>
    <w:p w14:paraId="0507249B">
      <w:pPr>
        <w:keepNext w:val="0"/>
        <w:keepLines w:val="0"/>
        <w:pageBreakBefore w:val="0"/>
        <w:kinsoku/>
        <w:wordWrap/>
        <w:overflowPunct/>
        <w:topLinePunct w:val="0"/>
        <w:autoSpaceDE/>
        <w:autoSpaceDN/>
        <w:bidi w:val="0"/>
        <w:adjustRightInd/>
        <w:snapToGrid/>
        <w:spacing w:line="520" w:lineRule="exact"/>
        <w:jc w:val="both"/>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FD66">
    <w:pPr>
      <w:pStyle w:val="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142B9F">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14:paraId="03142B9F">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6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2025-02-20T03:00:34Z</dcterms:created>
  <dc:creator>Administrator</dc:creator>
  <cp:lastModifiedBy>葛昕颖</cp:lastModifiedBy>
  <dcterms:modified xsi:type="dcterms:W3CDTF">2025-02-20T03:11:01Z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eyJoZGlkIjoiZGJkY2ExYzJhMGFhMGZhNzZhOGYyMjA5YjdmMmRjZmQiLCJ1c2VySWQiOiIyNzI0ODk1NDkifQ==</vt:lpwstr>
  </property>
  <property fmtid="{D5CDD505-2E9C-101B-9397-08002B2CF9AE}" pid="4" name="ICV">
    <vt:lpwstr>8A13C4E81C18458CBDF02826B64062E2_12</vt:lpwstr>
  </property>
</Properties>
</file>