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402E2">
      <w:pPr>
        <w:spacing w:line="360" w:lineRule="auto"/>
        <w:jc w:val="center"/>
        <w:rPr>
          <w:rFonts w:hint="eastAsia" w:asciiTheme="minorEastAsia" w:hAnsiTheme="minorEastAsia" w:eastAsiaTheme="minorEastAsia" w:cstheme="minorEastAsia"/>
          <w:sz w:val="24"/>
        </w:rPr>
      </w:pPr>
    </w:p>
    <w:p w14:paraId="6D51B6FF">
      <w:pPr>
        <w:spacing w:line="360" w:lineRule="auto"/>
        <w:jc w:val="center"/>
        <w:rPr>
          <w:rFonts w:hint="eastAsia" w:asciiTheme="minorEastAsia" w:hAnsiTheme="minorEastAsia" w:eastAsiaTheme="minorEastAsia" w:cstheme="minorEastAsia"/>
          <w:sz w:val="24"/>
        </w:rPr>
      </w:pPr>
    </w:p>
    <w:p w14:paraId="03104316">
      <w:pPr>
        <w:spacing w:line="360" w:lineRule="auto"/>
        <w:jc w:val="center"/>
        <w:rPr>
          <w:rFonts w:hint="eastAsia" w:asciiTheme="minorEastAsia" w:hAnsiTheme="minorEastAsia" w:eastAsiaTheme="minorEastAsia" w:cstheme="minorEastAsia"/>
          <w:sz w:val="24"/>
        </w:rPr>
      </w:pPr>
    </w:p>
    <w:p w14:paraId="72931637">
      <w:pPr>
        <w:spacing w:line="360" w:lineRule="auto"/>
        <w:jc w:val="center"/>
        <w:rPr>
          <w:rFonts w:hint="eastAsia" w:asciiTheme="minorEastAsia" w:hAnsiTheme="minorEastAsia" w:eastAsiaTheme="minorEastAsia" w:cstheme="minorEastAsia"/>
          <w:sz w:val="24"/>
        </w:rPr>
      </w:pPr>
    </w:p>
    <w:p w14:paraId="68B46E95">
      <w:pP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2024年度科尔沁左翼中旗</w:t>
      </w:r>
    </w:p>
    <w:p w14:paraId="79410FBD">
      <w:pP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政府办公室政务保障中心</w:t>
      </w:r>
      <w:r>
        <w:rPr>
          <w:rFonts w:hint="eastAsia" w:asciiTheme="minorEastAsia" w:hAnsiTheme="minorEastAsia" w:eastAsiaTheme="minorEastAsia" w:cstheme="minorEastAsia"/>
          <w:b/>
          <w:bCs/>
          <w:sz w:val="52"/>
          <w:szCs w:val="52"/>
          <w:lang w:val="en-US" w:eastAsia="zh-CN"/>
        </w:rPr>
        <w:t>（本级）</w:t>
      </w:r>
      <w:r>
        <w:rPr>
          <w:rFonts w:hint="eastAsia" w:asciiTheme="minorEastAsia" w:hAnsiTheme="minorEastAsia" w:eastAsiaTheme="minorEastAsia" w:cstheme="minorEastAsia"/>
          <w:b/>
          <w:bCs/>
          <w:sz w:val="52"/>
          <w:szCs w:val="52"/>
        </w:rPr>
        <w:t>公开报告</w:t>
      </w:r>
    </w:p>
    <w:p w14:paraId="38164ADC">
      <w:pPr>
        <w:spacing w:line="360" w:lineRule="auto"/>
        <w:jc w:val="center"/>
        <w:rPr>
          <w:rFonts w:hint="eastAsia" w:asciiTheme="minorEastAsia" w:hAnsiTheme="minorEastAsia" w:eastAsiaTheme="minorEastAsia" w:cstheme="minorEastAsia"/>
          <w:b w:val="0"/>
          <w:bCs w:val="0"/>
          <w:sz w:val="28"/>
          <w:szCs w:val="28"/>
          <w:lang w:val="en-US" w:eastAsia="zh-CN"/>
        </w:rPr>
      </w:pPr>
    </w:p>
    <w:p w14:paraId="3FC4A4A6">
      <w:pPr>
        <w:spacing w:line="360" w:lineRule="auto"/>
        <w:jc w:val="both"/>
        <w:rPr>
          <w:rFonts w:hint="eastAsia" w:asciiTheme="minorEastAsia" w:hAnsiTheme="minorEastAsia" w:eastAsiaTheme="minorEastAsia" w:cstheme="minorEastAsia"/>
          <w:b w:val="0"/>
          <w:bCs w:val="0"/>
          <w:sz w:val="28"/>
          <w:szCs w:val="28"/>
          <w:lang w:val="en-US" w:eastAsia="zh-CN"/>
        </w:rPr>
      </w:pPr>
    </w:p>
    <w:p w14:paraId="65DE85B9">
      <w:pPr>
        <w:spacing w:line="360" w:lineRule="auto"/>
        <w:jc w:val="center"/>
        <w:rPr>
          <w:rFonts w:hint="eastAsia" w:asciiTheme="minorEastAsia" w:hAnsiTheme="minorEastAsia" w:eastAsiaTheme="minorEastAsia" w:cstheme="minorEastAsia"/>
          <w:b w:val="0"/>
          <w:bCs w:val="0"/>
          <w:sz w:val="28"/>
          <w:szCs w:val="28"/>
          <w:lang w:val="en-US" w:eastAsia="zh-CN"/>
        </w:rPr>
      </w:pPr>
    </w:p>
    <w:p w14:paraId="25FDF04A">
      <w:pPr>
        <w:spacing w:line="360" w:lineRule="auto"/>
        <w:jc w:val="center"/>
        <w:rPr>
          <w:rFonts w:hint="eastAsia" w:asciiTheme="minorEastAsia" w:hAnsiTheme="minorEastAsia" w:eastAsiaTheme="minorEastAsia" w:cstheme="minorEastAsia"/>
          <w:b w:val="0"/>
          <w:bCs w:val="0"/>
          <w:sz w:val="28"/>
          <w:szCs w:val="28"/>
          <w:lang w:val="en-US" w:eastAsia="zh-CN"/>
        </w:rPr>
      </w:pPr>
    </w:p>
    <w:p w14:paraId="6752CC37">
      <w:pPr>
        <w:spacing w:line="360" w:lineRule="auto"/>
        <w:jc w:val="center"/>
        <w:rPr>
          <w:rFonts w:hint="eastAsia" w:asciiTheme="minorEastAsia" w:hAnsiTheme="minorEastAsia" w:eastAsiaTheme="minorEastAsia" w:cstheme="minorEastAsia"/>
          <w:b w:val="0"/>
          <w:bCs w:val="0"/>
          <w:sz w:val="28"/>
          <w:szCs w:val="28"/>
          <w:lang w:val="en-US" w:eastAsia="zh-CN"/>
        </w:rPr>
      </w:pPr>
    </w:p>
    <w:p w14:paraId="5E1BDF62">
      <w:pPr>
        <w:spacing w:line="360" w:lineRule="auto"/>
        <w:jc w:val="center"/>
        <w:rPr>
          <w:rFonts w:hint="eastAsia" w:asciiTheme="minorEastAsia" w:hAnsiTheme="minorEastAsia" w:eastAsiaTheme="minorEastAsia" w:cstheme="minorEastAsia"/>
          <w:b w:val="0"/>
          <w:bCs w:val="0"/>
          <w:sz w:val="28"/>
          <w:szCs w:val="28"/>
          <w:lang w:val="en-US" w:eastAsia="zh-CN"/>
        </w:rPr>
      </w:pPr>
    </w:p>
    <w:p w14:paraId="004CD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32"/>
          <w:szCs w:val="32"/>
        </w:rPr>
        <w:sectPr>
          <w:pgSz w:w="11906" w:h="16838"/>
          <w:pgMar w:top="1440" w:right="1083" w:bottom="1440" w:left="1083" w:header="0" w:footer="720" w:gutter="0"/>
          <w:pgNumType w:fmt="decimal"/>
          <w:cols w:space="425" w:num="1"/>
          <w:docGrid w:type="lines" w:linePitch="312" w:charSpace="0"/>
        </w:sectPr>
      </w:pPr>
      <w:r>
        <w:rPr>
          <w:rFonts w:hint="eastAsia" w:asciiTheme="minorEastAsia" w:hAnsiTheme="minorEastAsia" w:eastAsiaTheme="minorEastAsia" w:cstheme="minorEastAsia"/>
          <w:b w:val="0"/>
          <w:bCs w:val="0"/>
          <w:sz w:val="32"/>
          <w:szCs w:val="32"/>
          <w:lang w:val="en-US" w:eastAsia="zh-CN"/>
        </w:rPr>
        <w:t xml:space="preserve">                  </w:t>
      </w:r>
      <w:bookmarkStart w:id="31" w:name="_GoBack"/>
      <w:bookmarkEnd w:id="31"/>
    </w:p>
    <w:p w14:paraId="13F453F1">
      <w:pPr>
        <w:widowControl/>
        <w:spacing w:after="240"/>
        <w:jc w:val="center"/>
        <w:rPr>
          <w:rFonts w:ascii="Times New Roman" w:hAnsi="Times New Roman" w:eastAsia="Times New Roman" w:cs="Times New Roman"/>
          <w:kern w:val="0"/>
          <w:sz w:val="24"/>
        </w:rPr>
      </w:pPr>
      <w:r>
        <w:rPr>
          <w:rFonts w:ascii="fang_song_gb2312" w:hAnsi="fang_song_gb2312" w:eastAsia="fang_song_gb2312" w:cs="fang_song_gb2312"/>
          <w:b/>
          <w:bCs/>
          <w:kern w:val="0"/>
          <w:sz w:val="54"/>
          <w:szCs w:val="54"/>
        </w:rPr>
        <w:t>目 录</w:t>
      </w:r>
    </w:p>
    <w:p w14:paraId="23B35B5D">
      <w:pPr>
        <w:widowControl/>
        <w:spacing w:before="240" w:after="240"/>
        <w:jc w:val="left"/>
        <w:rPr>
          <w:rFonts w:ascii="Times New Roman" w:hAnsi="Times New Roman" w:eastAsia="Times New Roman" w:cs="Times New Roman"/>
          <w:kern w:val="0"/>
          <w:sz w:val="32"/>
          <w:szCs w:val="32"/>
        </w:rPr>
      </w:pPr>
      <w:r>
        <w:rPr>
          <w:rFonts w:ascii="Times New Roman" w:hAnsi="Times New Roman" w:eastAsia="Times New Roman" w:cs="Times New Roman"/>
          <w:b/>
          <w:bCs/>
          <w:kern w:val="0"/>
          <w:sz w:val="32"/>
          <w:szCs w:val="32"/>
        </w:rPr>
        <w:t> </w:t>
      </w:r>
      <w:r>
        <w:rPr>
          <w:rFonts w:ascii="黑体" w:hAnsi="黑体" w:eastAsia="黑体" w:cs="黑体"/>
          <w:kern w:val="0"/>
          <w:sz w:val="32"/>
          <w:szCs w:val="32"/>
        </w:rPr>
        <w:t xml:space="preserve">第一部分 </w:t>
      </w:r>
      <w:r>
        <w:rPr>
          <w:rFonts w:hint="eastAsia" w:ascii="黑体" w:hAnsi="黑体" w:eastAsia="黑体" w:cs="黑体"/>
          <w:kern w:val="0"/>
          <w:sz w:val="32"/>
          <w:szCs w:val="32"/>
          <w:lang w:val="en-US" w:eastAsia="zh-CN"/>
        </w:rPr>
        <w:t>单位</w:t>
      </w:r>
      <w:r>
        <w:rPr>
          <w:rFonts w:ascii="黑体" w:hAnsi="黑体" w:eastAsia="黑体" w:cs="黑体"/>
          <w:kern w:val="0"/>
          <w:sz w:val="32"/>
          <w:szCs w:val="32"/>
        </w:rPr>
        <w:t>概况</w:t>
      </w:r>
    </w:p>
    <w:p w14:paraId="2EF73F33">
      <w:pPr>
        <w:widowControl/>
        <w:spacing w:before="240" w:after="240"/>
        <w:jc w:val="left"/>
        <w:rPr>
          <w:rFonts w:ascii="Times New Roman" w:hAnsi="Times New Roman" w:eastAsia="仿宋_GB2312" w:cs="Times New Roman"/>
          <w:kern w:val="0"/>
          <w:sz w:val="32"/>
          <w:szCs w:val="32"/>
        </w:rPr>
      </w:pPr>
      <w:r>
        <w:rPr>
          <w:rFonts w:ascii="Times New Roman" w:hAnsi="Times New Roman" w:eastAsia="仿宋_GB2312" w:cs="fang_song_gb2312"/>
          <w:kern w:val="0"/>
          <w:sz w:val="32"/>
          <w:szCs w:val="32"/>
        </w:rPr>
        <w:t>一、主要职能、职责</w:t>
      </w:r>
    </w:p>
    <w:p w14:paraId="6086A2A4">
      <w:pPr>
        <w:widowControl/>
        <w:spacing w:before="240" w:after="240"/>
        <w:jc w:val="left"/>
        <w:rPr>
          <w:rFonts w:ascii="Times New Roman" w:hAnsi="Times New Roman" w:eastAsia="仿宋_GB2312" w:cs="Times New Roman"/>
          <w:kern w:val="0"/>
          <w:sz w:val="32"/>
          <w:szCs w:val="32"/>
        </w:rPr>
      </w:pPr>
      <w:r>
        <w:rPr>
          <w:rFonts w:ascii="Times New Roman" w:hAnsi="Times New Roman" w:eastAsia="仿宋_GB2312" w:cs="fang_song_gb2312"/>
          <w:kern w:val="0"/>
          <w:sz w:val="32"/>
          <w:szCs w:val="32"/>
        </w:rPr>
        <w:t>二、部门机构设置及决算单位构成情况</w:t>
      </w:r>
    </w:p>
    <w:p w14:paraId="05AC6CC5">
      <w:pPr>
        <w:widowControl/>
        <w:spacing w:before="240" w:after="240"/>
        <w:jc w:val="left"/>
        <w:rPr>
          <w:rFonts w:ascii="Times New Roman" w:hAnsi="Times New Roman" w:eastAsia="仿宋_GB2312" w:cs="Times New Roman"/>
          <w:kern w:val="0"/>
          <w:sz w:val="32"/>
          <w:szCs w:val="32"/>
        </w:rPr>
      </w:pPr>
      <w:r>
        <w:rPr>
          <w:rFonts w:ascii="Times New Roman" w:hAnsi="Times New Roman" w:eastAsia="仿宋_GB2312" w:cs="fang_song_gb2312"/>
          <w:kern w:val="0"/>
          <w:sz w:val="32"/>
          <w:szCs w:val="32"/>
        </w:rPr>
        <w:t>三、</w:t>
      </w:r>
      <w:r>
        <w:rPr>
          <w:rFonts w:hint="default" w:ascii="Times New Roman" w:hAnsi="Times New Roman" w:eastAsia="仿宋_GB2312" w:cs="Times New Roman"/>
          <w:kern w:val="0"/>
          <w:sz w:val="32"/>
          <w:szCs w:val="32"/>
        </w:rPr>
        <w:t>2023</w:t>
      </w:r>
      <w:r>
        <w:rPr>
          <w:rFonts w:ascii="Times New Roman" w:hAnsi="Times New Roman" w:eastAsia="仿宋_GB2312" w:cs="fang_song_gb2312"/>
          <w:kern w:val="0"/>
          <w:sz w:val="32"/>
          <w:szCs w:val="32"/>
        </w:rPr>
        <w:t>年度部门主要工作完成情况</w:t>
      </w:r>
    </w:p>
    <w:p w14:paraId="5A744C04">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 xml:space="preserve">第二部分 </w:t>
      </w:r>
      <w:r>
        <w:rPr>
          <w:rFonts w:hint="eastAsia" w:ascii="黑体" w:hAnsi="黑体" w:eastAsia="黑体" w:cs="黑体"/>
          <w:kern w:val="0"/>
          <w:sz w:val="32"/>
          <w:szCs w:val="32"/>
          <w:lang w:val="en-US" w:eastAsia="zh-CN"/>
        </w:rPr>
        <w:t>单位</w:t>
      </w:r>
      <w:r>
        <w:rPr>
          <w:rFonts w:ascii="黑体" w:hAnsi="黑体" w:eastAsia="黑体" w:cs="黑体"/>
          <w:kern w:val="0"/>
          <w:sz w:val="32"/>
          <w:szCs w:val="32"/>
        </w:rPr>
        <w:t>决算情况说明</w:t>
      </w:r>
    </w:p>
    <w:p w14:paraId="64CC5214">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一、收入支出决算总体情况说明</w:t>
      </w:r>
    </w:p>
    <w:p w14:paraId="3F5F18CF">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二、收入决算情况说明</w:t>
      </w:r>
    </w:p>
    <w:p w14:paraId="6C112018">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三、支出决算情况说明</w:t>
      </w:r>
    </w:p>
    <w:p w14:paraId="1E8D654B">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四、财政拨款收入支出决算总体情况说明</w:t>
      </w:r>
    </w:p>
    <w:p w14:paraId="69838269">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五、一般公共预算财政拨款支出决算情况说明</w:t>
      </w:r>
    </w:p>
    <w:p w14:paraId="61B7764A">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六、一般公共预算财政拨款基本支出决算情况说明</w:t>
      </w:r>
    </w:p>
    <w:p w14:paraId="14C2E4AC">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七、一般公共预算财政拨款项目支出决算情况说明</w:t>
      </w:r>
    </w:p>
    <w:p w14:paraId="1B669419">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八、财政拨款“三公”经费支出决算情况说明</w:t>
      </w:r>
    </w:p>
    <w:p w14:paraId="61602EB5">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九、政府性基金预算财政拨款支出决算情况说明</w:t>
      </w:r>
    </w:p>
    <w:p w14:paraId="6E244EEF">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十、国有资本经营预算财政拨款支出决算情况说明</w:t>
      </w:r>
    </w:p>
    <w:p w14:paraId="23FBE6ED">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十一、机构运行经费支出决算情况说明</w:t>
      </w:r>
    </w:p>
    <w:p w14:paraId="3CA62B24">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十二、政府采购支出决算情况说明</w:t>
      </w:r>
    </w:p>
    <w:p w14:paraId="1B3E4B1E">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十三、国有资产占用情况说明</w:t>
      </w:r>
    </w:p>
    <w:p w14:paraId="2D7D14C8">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十四、预算绩效情况说明</w:t>
      </w:r>
    </w:p>
    <w:p w14:paraId="73126282">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第三部分 名词解释</w:t>
      </w:r>
    </w:p>
    <w:p w14:paraId="69761943">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第四部分 决算公开联系方式及信息反馈渠道</w:t>
      </w:r>
    </w:p>
    <w:p w14:paraId="1C50AD48">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 xml:space="preserve">第五部分 </w:t>
      </w:r>
      <w:r>
        <w:rPr>
          <w:rFonts w:hint="eastAsia" w:ascii="黑体" w:hAnsi="黑体" w:eastAsia="黑体" w:cs="黑体"/>
          <w:kern w:val="0"/>
          <w:sz w:val="32"/>
          <w:szCs w:val="32"/>
          <w:lang w:val="en-US" w:eastAsia="zh-CN"/>
        </w:rPr>
        <w:t>单位</w:t>
      </w:r>
      <w:r>
        <w:rPr>
          <w:rFonts w:ascii="黑体" w:hAnsi="黑体" w:eastAsia="黑体" w:cs="黑体"/>
          <w:kern w:val="0"/>
          <w:sz w:val="32"/>
          <w:szCs w:val="32"/>
        </w:rPr>
        <w:t>决算表</w:t>
      </w:r>
    </w:p>
    <w:p w14:paraId="7A571331">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一、收入支出决算总表</w:t>
      </w:r>
    </w:p>
    <w:p w14:paraId="78F80DE0">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二、收入决算表</w:t>
      </w:r>
    </w:p>
    <w:p w14:paraId="580676A5">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三、支出决算表</w:t>
      </w:r>
    </w:p>
    <w:p w14:paraId="2B6CEEA5">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四、财政拨款收入支出决算总表</w:t>
      </w:r>
    </w:p>
    <w:p w14:paraId="3A011CAF">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五、一般公共预算财政拨款支出决算表</w:t>
      </w:r>
    </w:p>
    <w:p w14:paraId="29F330BD">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六、一般公共预算财政拨款基本支出决算明细表</w:t>
      </w:r>
    </w:p>
    <w:p w14:paraId="25D4096F">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七、一般公共预算财政拨款项目支出决算明细表</w:t>
      </w:r>
    </w:p>
    <w:p w14:paraId="48EA8F1E">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八、政府性基金预算财政拨款收入支出决算表</w:t>
      </w:r>
    </w:p>
    <w:p w14:paraId="50FA2980">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九、国有资本经营预算财政拨款支出决算表</w:t>
      </w:r>
    </w:p>
    <w:p w14:paraId="7E4A8852">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十、财政拨款“三公”经费支出决算表</w:t>
      </w:r>
    </w:p>
    <w:p w14:paraId="31F6F949">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十一、机构运行经费支出、国有资产占用情况及政府采购支出信息表</w:t>
      </w:r>
    </w:p>
    <w:p w14:paraId="2168240F">
      <w:pPr>
        <w:widowControl/>
        <w:spacing w:before="240" w:after="240"/>
        <w:rPr>
          <w:rFonts w:ascii="Times New Roman" w:hAnsi="Times New Roman" w:eastAsia="Times New Roman" w:cs="Times New Roman"/>
          <w:kern w:val="0"/>
          <w:sz w:val="24"/>
        </w:rPr>
      </w:pPr>
    </w:p>
    <w:p w14:paraId="4ADC8FC5">
      <w:pPr>
        <w:rPr>
          <w:rFonts w:hint="eastAsia" w:asciiTheme="minorEastAsia" w:hAnsiTheme="minorEastAsia" w:eastAsiaTheme="minorEastAsia" w:cstheme="minorEastAsia"/>
          <w:kern w:val="0"/>
        </w:rPr>
      </w:pPr>
    </w:p>
    <w:p w14:paraId="35C0AD64">
      <w:pPr>
        <w:widowControl/>
        <w:spacing w:before="240" w:after="240"/>
        <w:rPr>
          <w:rFonts w:hint="eastAsia" w:asciiTheme="minorEastAsia" w:hAnsiTheme="minorEastAsia" w:eastAsiaTheme="minorEastAsia" w:cstheme="minorEastAsia"/>
          <w:kern w:val="0"/>
          <w:sz w:val="24"/>
        </w:rPr>
      </w:pPr>
    </w:p>
    <w:p w14:paraId="7D83311D">
      <w:pPr>
        <w:pStyle w:val="3"/>
        <w:keepNext w:val="0"/>
        <w:keepLines w:val="0"/>
        <w:widowControl/>
        <w:spacing w:before="299" w:after="299" w:line="240" w:lineRule="auto"/>
        <w:jc w:val="center"/>
        <w:rPr>
          <w:rFonts w:hint="eastAsia" w:asciiTheme="minorEastAsia" w:hAnsiTheme="minorEastAsia" w:eastAsiaTheme="minorEastAsia" w:cstheme="minorEastAsia"/>
          <w:kern w:val="0"/>
          <w:sz w:val="36"/>
          <w:szCs w:val="36"/>
        </w:rPr>
        <w:sectPr>
          <w:footerReference r:id="rId3" w:type="default"/>
          <w:pgSz w:w="11906" w:h="16838"/>
          <w:pgMar w:top="1440" w:right="1803" w:bottom="1440" w:left="1803" w:header="0" w:footer="720" w:gutter="0"/>
          <w:pgNumType w:fmt="decimal"/>
          <w:cols w:space="425" w:num="1"/>
          <w:docGrid w:type="lines" w:linePitch="312" w:charSpace="0"/>
        </w:sectPr>
      </w:pPr>
    </w:p>
    <w:p w14:paraId="2C7DD66F">
      <w:pPr>
        <w:pStyle w:val="2"/>
        <w:bidi w:val="0"/>
        <w:jc w:val="center"/>
        <w:rPr>
          <w:rFonts w:hint="eastAsia"/>
          <w:sz w:val="32"/>
          <w:szCs w:val="32"/>
        </w:rPr>
      </w:pPr>
      <w:bookmarkStart w:id="0" w:name="_Toc9739"/>
      <w:bookmarkStart w:id="1" w:name="_Toc10854"/>
      <w:bookmarkStart w:id="2" w:name="_Toc619"/>
      <w:r>
        <w:rPr>
          <w:rFonts w:hint="eastAsia"/>
          <w:sz w:val="32"/>
          <w:szCs w:val="32"/>
        </w:rPr>
        <w:t>第一部分 单位概况</w:t>
      </w:r>
      <w:bookmarkEnd w:id="0"/>
      <w:bookmarkEnd w:id="1"/>
      <w:bookmarkEnd w:id="2"/>
    </w:p>
    <w:p w14:paraId="07124281">
      <w:pPr>
        <w:pStyle w:val="3"/>
        <w:keepNext/>
        <w:keepLines/>
        <w:pageBreakBefore w:val="0"/>
        <w:widowControl w:val="0"/>
        <w:kinsoku/>
        <w:wordWrap/>
        <w:overflowPunct/>
        <w:topLinePunct w:val="0"/>
        <w:autoSpaceDE/>
        <w:autoSpaceDN/>
        <w:bidi w:val="0"/>
        <w:adjustRightInd/>
        <w:snapToGrid/>
        <w:spacing w:line="416" w:lineRule="auto"/>
        <w:ind w:firstLine="643" w:firstLineChars="200"/>
        <w:textAlignment w:val="auto"/>
        <w:outlineLvl w:val="1"/>
        <w:rPr>
          <w:rFonts w:hint="eastAsia" w:asciiTheme="minorEastAsia" w:hAnsiTheme="minorEastAsia" w:eastAsiaTheme="minorEastAsia" w:cstheme="minorEastAsia"/>
          <w:b/>
          <w:bCs/>
          <w:kern w:val="0"/>
          <w:sz w:val="32"/>
          <w:szCs w:val="32"/>
          <w:lang w:val="en-US" w:eastAsia="zh-CN" w:bidi="ar-SA"/>
        </w:rPr>
      </w:pPr>
      <w:bookmarkStart w:id="3" w:name="_Toc28222"/>
      <w:r>
        <w:rPr>
          <w:rFonts w:hint="eastAsia" w:asciiTheme="minorEastAsia" w:hAnsiTheme="minorEastAsia" w:eastAsiaTheme="minorEastAsia" w:cstheme="minorEastAsia"/>
          <w:b/>
          <w:bCs/>
          <w:kern w:val="0"/>
          <w:sz w:val="32"/>
          <w:szCs w:val="32"/>
          <w:lang w:val="en-US" w:eastAsia="zh-CN" w:bidi="ar-SA"/>
        </w:rPr>
        <w:t>一、主要职能、职责</w:t>
      </w:r>
      <w:bookmarkEnd w:id="3"/>
    </w:p>
    <w:p w14:paraId="0FA70243">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heme="minorEastAsia" w:hAnsiTheme="minorEastAsia" w:eastAsiaTheme="minorEastAsia" w:cstheme="minorEastAsia"/>
          <w:kern w:val="0"/>
          <w:sz w:val="32"/>
          <w:szCs w:val="32"/>
        </w:rPr>
      </w:pPr>
      <w:r>
        <w:rPr>
          <w:rFonts w:hint="eastAsia" w:ascii="Times New Roman" w:hAnsi="Times New Roman" w:eastAsia="仿宋_GB2312" w:cs="fang_song_gb2312"/>
          <w:kern w:val="0"/>
          <w:sz w:val="32"/>
          <w:szCs w:val="32"/>
          <w:lang w:val="en-US" w:eastAsia="zh-CN"/>
        </w:rPr>
        <w:t>科尔沁左翼中旗政府办公室政务保障中心负责旗政府办公室政务保障工作，完成旗政府办公室交办的其他工作。</w:t>
      </w:r>
    </w:p>
    <w:p w14:paraId="74AE200B">
      <w:pPr>
        <w:pStyle w:val="3"/>
        <w:keepNext/>
        <w:keepLines/>
        <w:pageBreakBefore w:val="0"/>
        <w:widowControl w:val="0"/>
        <w:kinsoku/>
        <w:wordWrap/>
        <w:overflowPunct/>
        <w:topLinePunct w:val="0"/>
        <w:autoSpaceDE/>
        <w:autoSpaceDN/>
        <w:bidi w:val="0"/>
        <w:adjustRightInd/>
        <w:snapToGrid/>
        <w:spacing w:line="416" w:lineRule="auto"/>
        <w:ind w:firstLine="643" w:firstLineChars="200"/>
        <w:textAlignment w:val="auto"/>
        <w:outlineLvl w:val="1"/>
        <w:rPr>
          <w:rFonts w:hint="eastAsia" w:asciiTheme="minorEastAsia" w:hAnsiTheme="minorEastAsia" w:eastAsiaTheme="minorEastAsia" w:cstheme="minorEastAsia"/>
          <w:b/>
          <w:bCs/>
          <w:kern w:val="0"/>
          <w:sz w:val="32"/>
          <w:szCs w:val="32"/>
          <w:lang w:val="en-US" w:eastAsia="zh-CN" w:bidi="ar-SA"/>
        </w:rPr>
      </w:pPr>
      <w:bookmarkStart w:id="4" w:name="_Toc8827"/>
      <w:r>
        <w:rPr>
          <w:rFonts w:hint="eastAsia" w:asciiTheme="minorEastAsia" w:hAnsiTheme="minorEastAsia" w:eastAsiaTheme="minorEastAsia" w:cstheme="minorEastAsia"/>
          <w:b/>
          <w:bCs/>
          <w:kern w:val="0"/>
          <w:sz w:val="32"/>
          <w:szCs w:val="32"/>
          <w:lang w:val="en-US" w:eastAsia="zh-CN" w:bidi="ar-SA"/>
        </w:rPr>
        <w:t>二、单位机构设置及决算单位构成情况</w:t>
      </w:r>
      <w:bookmarkEnd w:id="4"/>
    </w:p>
    <w:p w14:paraId="2AFD2921">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fang_song_gb2312"/>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fang_song_gb2312"/>
          <w:kern w:val="0"/>
          <w:sz w:val="32"/>
          <w:szCs w:val="32"/>
          <w:lang w:val="en-US" w:eastAsia="zh-CN"/>
        </w:rPr>
        <w:t>根据单位职责分工，本单位内设机构包括1家。本单位无下属单位。</w:t>
      </w:r>
    </w:p>
    <w:p w14:paraId="594961B6">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fang_song_gb2312"/>
          <w:kern w:val="0"/>
          <w:sz w:val="32"/>
          <w:szCs w:val="32"/>
          <w:lang w:val="en-US" w:eastAsia="zh-CN"/>
        </w:rPr>
        <w:t>.从决算单位构成看，纳入本单位决算编制范围的预算单位共计</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fang_song_gb2312"/>
          <w:kern w:val="0"/>
          <w:sz w:val="32"/>
          <w:szCs w:val="32"/>
          <w:lang w:val="en-US" w:eastAsia="zh-CN"/>
        </w:rPr>
        <w:t>家，具体包括：科尔沁左翼中旗政府办公室政务保障中心。详细情况见表：</w:t>
      </w:r>
    </w:p>
    <w:tbl>
      <w:tblPr>
        <w:tblStyle w:val="18"/>
        <w:tblW w:w="881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021"/>
        <w:gridCol w:w="5098"/>
        <w:gridCol w:w="2700"/>
      </w:tblGrid>
      <w:tr w14:paraId="4E984E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83" w:hRule="atLeast"/>
          <w:tblHeader/>
          <w:tblCellSpacing w:w="15" w:type="dxa"/>
          <w:jc w:val="center"/>
        </w:trPr>
        <w:tc>
          <w:tcPr>
            <w:tcW w:w="97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C1C41F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序号</w:t>
            </w:r>
          </w:p>
        </w:tc>
        <w:tc>
          <w:tcPr>
            <w:tcW w:w="506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60F5660">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单位名称</w:t>
            </w:r>
          </w:p>
        </w:tc>
        <w:tc>
          <w:tcPr>
            <w:tcW w:w="265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2A1DDC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单位性质</w:t>
            </w:r>
          </w:p>
        </w:tc>
      </w:tr>
      <w:tr w14:paraId="5F5BABE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53" w:hRule="atLeast"/>
          <w:tblCellSpacing w:w="15" w:type="dxa"/>
          <w:jc w:val="center"/>
        </w:trPr>
        <w:tc>
          <w:tcPr>
            <w:tcW w:w="97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0CF35F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Times New Roman" w:hAnsi="Times New Roman" w:eastAsia="仿宋_GB2312" w:cs="fang_song_gb2312"/>
                <w:kern w:val="0"/>
                <w:sz w:val="32"/>
                <w:szCs w:val="32"/>
                <w:lang w:val="en-US" w:eastAsia="zh-CN"/>
              </w:rPr>
            </w:pPr>
            <w:r>
              <w:rPr>
                <w:rFonts w:hint="default" w:ascii="Times New Roman" w:hAnsi="Times New Roman" w:eastAsia="仿宋_GB2312" w:cs="Times New Roman"/>
                <w:kern w:val="0"/>
                <w:sz w:val="32"/>
                <w:szCs w:val="32"/>
                <w:lang w:val="en-US" w:eastAsia="zh-CN"/>
              </w:rPr>
              <w:t>1</w:t>
            </w:r>
          </w:p>
        </w:tc>
        <w:tc>
          <w:tcPr>
            <w:tcW w:w="506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E775FBC">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w:t>
            </w:r>
          </w:p>
        </w:tc>
        <w:tc>
          <w:tcPr>
            <w:tcW w:w="265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96150B2">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公益一类事业单位</w:t>
            </w:r>
          </w:p>
        </w:tc>
      </w:tr>
    </w:tbl>
    <w:p w14:paraId="5563435F">
      <w:pPr>
        <w:pStyle w:val="3"/>
        <w:keepNext/>
        <w:keepLines/>
        <w:pageBreakBefore w:val="0"/>
        <w:widowControl w:val="0"/>
        <w:kinsoku/>
        <w:wordWrap/>
        <w:overflowPunct/>
        <w:topLinePunct w:val="0"/>
        <w:autoSpaceDE/>
        <w:autoSpaceDN/>
        <w:bidi w:val="0"/>
        <w:adjustRightInd/>
        <w:snapToGrid/>
        <w:spacing w:line="416" w:lineRule="auto"/>
        <w:ind w:firstLine="643" w:firstLineChars="200"/>
        <w:textAlignment w:val="auto"/>
        <w:outlineLvl w:val="1"/>
        <w:rPr>
          <w:rFonts w:hint="eastAsia" w:asciiTheme="minorEastAsia" w:hAnsiTheme="minorEastAsia" w:eastAsiaTheme="minorEastAsia" w:cstheme="minorEastAsia"/>
          <w:b/>
          <w:bCs/>
          <w:kern w:val="0"/>
          <w:sz w:val="32"/>
          <w:szCs w:val="32"/>
          <w:lang w:val="en-US" w:eastAsia="zh-CN" w:bidi="ar-SA"/>
        </w:rPr>
      </w:pPr>
      <w:bookmarkStart w:id="5" w:name="_Toc3606"/>
      <w:r>
        <w:rPr>
          <w:rFonts w:hint="eastAsia" w:asciiTheme="minorEastAsia" w:hAnsiTheme="minorEastAsia" w:eastAsiaTheme="minorEastAsia" w:cstheme="minorEastAsia"/>
          <w:b/>
          <w:bCs/>
          <w:kern w:val="0"/>
          <w:sz w:val="32"/>
          <w:szCs w:val="32"/>
          <w:lang w:val="en-US" w:eastAsia="zh-CN" w:bidi="ar-SA"/>
        </w:rPr>
        <w:t>三、2024年度单位主要工作完成情况</w:t>
      </w:r>
      <w:bookmarkEnd w:id="5"/>
    </w:p>
    <w:p w14:paraId="570C064C">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fang_song_gb2312"/>
          <w:kern w:val="0"/>
          <w:sz w:val="32"/>
          <w:szCs w:val="32"/>
          <w:lang w:val="en-US" w:eastAsia="zh-CN"/>
        </w:rPr>
        <w:sectPr>
          <w:footerReference r:id="rId4" w:type="default"/>
          <w:pgSz w:w="11906" w:h="16838"/>
          <w:pgMar w:top="1440" w:right="1803" w:bottom="1440" w:left="1803" w:header="0" w:footer="1077" w:gutter="0"/>
          <w:pgNumType w:fmt="decimal" w:start="1"/>
          <w:cols w:space="425" w:num="1"/>
          <w:docGrid w:type="lines" w:linePitch="312" w:charSpace="0"/>
        </w:sectPr>
      </w:pPr>
      <w:r>
        <w:rPr>
          <w:rFonts w:hint="eastAsia" w:ascii="Times New Roman" w:hAnsi="Times New Roman" w:eastAsia="仿宋_GB2312" w:cs="fang_song_gb2312"/>
          <w:kern w:val="0"/>
          <w:sz w:val="32"/>
          <w:szCs w:val="32"/>
          <w:lang w:val="en-US" w:eastAsia="zh-CN"/>
        </w:rPr>
        <w:t>为旗政府领导和办公室提供后勤保障和综合服务，圆满完成各项工作。</w:t>
      </w:r>
    </w:p>
    <w:p w14:paraId="028F93E1">
      <w:pPr>
        <w:pStyle w:val="2"/>
        <w:pageBreakBefore w:val="0"/>
        <w:kinsoku/>
        <w:wordWrap/>
        <w:overflowPunct/>
        <w:topLinePunct w:val="0"/>
        <w:autoSpaceDE/>
        <w:autoSpaceDN/>
        <w:bidi w:val="0"/>
        <w:adjustRightInd/>
        <w:snapToGrid/>
        <w:spacing w:line="240" w:lineRule="auto"/>
        <w:jc w:val="center"/>
        <w:textAlignment w:val="auto"/>
        <w:rPr>
          <w:rFonts w:hint="eastAsia"/>
          <w:sz w:val="32"/>
          <w:szCs w:val="32"/>
        </w:rPr>
      </w:pPr>
      <w:bookmarkStart w:id="6" w:name="_Toc9219"/>
      <w:bookmarkStart w:id="7" w:name="_Toc21621"/>
      <w:bookmarkStart w:id="8" w:name="_Toc7553"/>
      <w:r>
        <w:rPr>
          <w:rFonts w:hint="eastAsia"/>
          <w:sz w:val="32"/>
          <w:szCs w:val="32"/>
        </w:rPr>
        <w:t>第二部分 单位决算情况说明</w:t>
      </w:r>
      <w:bookmarkEnd w:id="6"/>
      <w:bookmarkEnd w:id="7"/>
      <w:bookmarkEnd w:id="8"/>
    </w:p>
    <w:p w14:paraId="5027F4BE">
      <w:pPr>
        <w:pStyle w:val="3"/>
        <w:keepNext/>
        <w:keepLines/>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Theme="minorEastAsia" w:hAnsiTheme="minorEastAsia" w:eastAsiaTheme="minorEastAsia" w:cstheme="minorEastAsia"/>
          <w:b/>
          <w:bCs/>
          <w:kern w:val="0"/>
          <w:sz w:val="32"/>
          <w:szCs w:val="32"/>
          <w:lang w:val="en-US" w:eastAsia="zh-CN" w:bidi="ar-SA"/>
        </w:rPr>
      </w:pPr>
      <w:bookmarkStart w:id="9" w:name="_Toc17136"/>
      <w:r>
        <w:rPr>
          <w:rFonts w:hint="eastAsia" w:asciiTheme="minorEastAsia" w:hAnsiTheme="minorEastAsia" w:eastAsiaTheme="minorEastAsia" w:cstheme="minorEastAsia"/>
          <w:b/>
          <w:bCs/>
          <w:kern w:val="0"/>
          <w:sz w:val="32"/>
          <w:szCs w:val="32"/>
          <w:lang w:val="en-US" w:eastAsia="zh-CN" w:bidi="ar-SA"/>
        </w:rPr>
        <w:t>一、收入支出决算总体情况说明</w:t>
      </w:r>
      <w:bookmarkEnd w:id="9"/>
    </w:p>
    <w:p w14:paraId="0B650DCE">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科尔沁左翼中旗政府办公室政务保障中心2024年度收入、支出决算总计均为</w:t>
      </w:r>
      <w:r>
        <w:rPr>
          <w:rFonts w:hint="default" w:ascii="Times New Roman" w:hAnsi="Times New Roman" w:cs="Times New Roman" w:eastAsiaTheme="minorEastAsia"/>
          <w:color w:val="000000"/>
          <w:kern w:val="0"/>
          <w:sz w:val="32"/>
          <w:szCs w:val="32"/>
          <w:u w:val="single" w:color="000000"/>
        </w:rPr>
        <w:t xml:space="preserve"> </w:t>
      </w:r>
      <w:r>
        <w:rPr>
          <w:rFonts w:hint="eastAsia" w:ascii="Times New Roman" w:hAnsi="Times New Roman" w:cs="Times New Roman" w:eastAsiaTheme="minorEastAsia"/>
          <w:color w:val="000000"/>
          <w:kern w:val="0"/>
          <w:sz w:val="32"/>
          <w:szCs w:val="32"/>
          <w:u w:val="single" w:color="000000"/>
          <w:lang w:val="en-US" w:eastAsia="zh-CN"/>
        </w:rPr>
        <w:t xml:space="preserve"> </w:t>
      </w:r>
      <w:r>
        <w:rPr>
          <w:rFonts w:hint="default" w:ascii="Times New Roman" w:hAnsi="Times New Roman" w:cs="Times New Roman" w:eastAsiaTheme="minorEastAsia"/>
          <w:color w:val="000000"/>
          <w:kern w:val="0"/>
          <w:sz w:val="32"/>
          <w:szCs w:val="32"/>
          <w:u w:val="single" w:color="000000"/>
        </w:rPr>
        <w:t>233.87</w:t>
      </w:r>
      <w:r>
        <w:rPr>
          <w:rFonts w:hint="eastAsia" w:ascii="Times New Roman" w:hAnsi="Times New Roman" w:cs="Times New Roman" w:eastAsia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万元。与年初预算相比，收、支总计各减少</w:t>
      </w:r>
      <w:r>
        <w:rPr>
          <w:rFonts w:hint="eastAsia" w:ascii="Times New Roman" w:hAnsi="Times New Roman" w:cs="Times New Roman" w:eastAsiaTheme="minorEastAsia"/>
          <w:color w:val="000000"/>
          <w:kern w:val="0"/>
          <w:sz w:val="32"/>
          <w:szCs w:val="32"/>
          <w:u w:val="single" w:color="000000"/>
        </w:rPr>
        <w:t xml:space="preserve"> </w:t>
      </w:r>
      <w:r>
        <w:rPr>
          <w:rFonts w:hint="eastAsia" w:cs="Times New Roman" w:eastAsiaTheme="minorEastAsia"/>
          <w:color w:val="000000"/>
          <w:kern w:val="0"/>
          <w:sz w:val="32"/>
          <w:szCs w:val="32"/>
          <w:u w:val="single" w:color="000000"/>
          <w:lang w:val="en-US" w:eastAsia="zh-CN"/>
        </w:rPr>
        <w:t xml:space="preserve"> </w:t>
      </w:r>
      <w:r>
        <w:rPr>
          <w:rFonts w:hint="eastAsia" w:ascii="Times New Roman" w:hAnsi="Times New Roman" w:cs="Times New Roman" w:eastAsiaTheme="minorEastAsia"/>
          <w:color w:val="000000"/>
          <w:kern w:val="0"/>
          <w:sz w:val="32"/>
          <w:szCs w:val="32"/>
          <w:u w:val="single" w:color="000000"/>
        </w:rPr>
        <w:t>42.83</w:t>
      </w:r>
      <w:r>
        <w:rPr>
          <w:rFonts w:hint="eastAsia" w:cs="Times New Roman" w:eastAsia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万元，下降</w:t>
      </w:r>
      <w:r>
        <w:rPr>
          <w:rFonts w:hint="eastAsia" w:ascii="Times New Roman" w:hAnsi="Times New Roman" w:cs="Times New Roman" w:eastAsiaTheme="minorEastAsia"/>
          <w:color w:val="000000"/>
          <w:kern w:val="0"/>
          <w:sz w:val="32"/>
          <w:szCs w:val="32"/>
          <w:u w:val="single" w:color="000000"/>
          <w:lang w:val="en-US" w:eastAsia="zh-CN"/>
        </w:rPr>
        <w:t xml:space="preserve"> </w:t>
      </w:r>
      <w:r>
        <w:rPr>
          <w:rFonts w:hint="eastAsia" w:cs="Times New Roman" w:eastAsiaTheme="minorEastAsia"/>
          <w:color w:val="000000"/>
          <w:kern w:val="0"/>
          <w:sz w:val="32"/>
          <w:szCs w:val="32"/>
          <w:u w:val="single" w:color="000000"/>
          <w:lang w:val="en-US" w:eastAsia="zh-CN"/>
        </w:rPr>
        <w:t xml:space="preserve"> </w:t>
      </w:r>
      <w:r>
        <w:rPr>
          <w:rFonts w:hint="eastAsia" w:ascii="Times New Roman" w:hAnsi="Times New Roman" w:cs="Times New Roman" w:eastAsiaTheme="minorEastAsia"/>
          <w:color w:val="000000"/>
          <w:kern w:val="0"/>
          <w:sz w:val="32"/>
          <w:szCs w:val="32"/>
          <w:u w:val="single" w:color="000000"/>
        </w:rPr>
        <w:t>15.48</w:t>
      </w:r>
      <w:r>
        <w:rPr>
          <w:rFonts w:hint="eastAsia" w:cs="Times New Roman" w:eastAsiaTheme="minorEastAsia"/>
          <w:color w:val="000000"/>
          <w:kern w:val="0"/>
          <w:sz w:val="32"/>
          <w:szCs w:val="32"/>
          <w:u w:val="single" w:color="000000"/>
          <w:lang w:val="en-US" w:eastAsia="zh-CN"/>
        </w:rPr>
        <w:t xml:space="preserve"> </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eastAsia" w:asciiTheme="minorEastAsia" w:hAnsiTheme="minorEastAsia" w:eastAsiaTheme="minorEastAsia" w:cstheme="minorEastAsia"/>
          <w:color w:val="000000"/>
          <w:kern w:val="0"/>
          <w:sz w:val="32"/>
          <w:szCs w:val="32"/>
        </w:rPr>
        <w:t>%，</w:t>
      </w:r>
      <w:r>
        <w:rPr>
          <w:rFonts w:hint="eastAsia" w:ascii="Times New Roman" w:hAnsi="Times New Roman" w:eastAsia="仿宋_GB2312" w:cs="fang_song_gb2312"/>
          <w:kern w:val="0"/>
          <w:sz w:val="32"/>
          <w:szCs w:val="32"/>
          <w:lang w:val="en-US" w:eastAsia="zh-CN"/>
        </w:rPr>
        <w:t>变动原因：人员变动、工资调整；与上年决算相比，收、支总计各减少</w:t>
      </w:r>
      <w:r>
        <w:rPr>
          <w:rFonts w:hint="eastAsia" w:ascii="Times New Roman" w:hAnsi="Times New Roman" w:cs="Times New Roman" w:eastAsiaTheme="minorEastAsia"/>
          <w:color w:val="000000"/>
          <w:kern w:val="0"/>
          <w:sz w:val="32"/>
          <w:szCs w:val="32"/>
          <w:u w:val="single" w:color="000000"/>
          <w:lang w:val="en-US" w:eastAsia="zh-CN"/>
        </w:rPr>
        <w:t xml:space="preserve"> </w:t>
      </w:r>
      <w:r>
        <w:rPr>
          <w:rFonts w:hint="eastAsia" w:cs="Times New Roman" w:eastAsiaTheme="minorEastAsia"/>
          <w:color w:val="000000"/>
          <w:kern w:val="0"/>
          <w:sz w:val="32"/>
          <w:szCs w:val="32"/>
          <w:u w:val="single" w:color="000000"/>
          <w:lang w:val="en-US" w:eastAsia="zh-CN"/>
        </w:rPr>
        <w:t xml:space="preserve">  </w:t>
      </w:r>
      <w:r>
        <w:rPr>
          <w:rFonts w:hint="eastAsia" w:ascii="Times New Roman" w:hAnsi="Times New Roman" w:cs="Times New Roman" w:eastAsiaTheme="minorEastAsia"/>
          <w:color w:val="000000"/>
          <w:kern w:val="0"/>
          <w:sz w:val="32"/>
          <w:szCs w:val="32"/>
          <w:u w:val="single" w:color="000000"/>
          <w:lang w:val="en-US" w:eastAsia="zh-CN"/>
        </w:rPr>
        <w:t>4.79</w:t>
      </w:r>
      <w:r>
        <w:rPr>
          <w:rFonts w:hint="eastAsia" w:cs="Times New Roman" w:eastAsia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 xml:space="preserve">万元，下降 </w:t>
      </w:r>
      <w:r>
        <w:rPr>
          <w:rFonts w:hint="eastAsia" w:eastAsia="仿宋_GB2312" w:cs="fang_song_gb2312"/>
          <w:kern w:val="0"/>
          <w:sz w:val="32"/>
          <w:szCs w:val="32"/>
          <w:u w:val="single"/>
          <w:lang w:val="en-US" w:eastAsia="zh-CN"/>
        </w:rPr>
        <w:t xml:space="preserve"> </w:t>
      </w:r>
      <w:r>
        <w:rPr>
          <w:rFonts w:hint="default" w:ascii="Times New Roman" w:hAnsi="Times New Roman" w:eastAsia="仿宋_GB2312" w:cs="Times New Roman"/>
          <w:kern w:val="0"/>
          <w:sz w:val="32"/>
          <w:szCs w:val="32"/>
          <w:u w:val="single"/>
          <w:lang w:val="en-US" w:eastAsia="zh-CN"/>
        </w:rPr>
        <w:t>2.01</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fang_song_gb2312"/>
          <w:kern w:val="0"/>
          <w:sz w:val="32"/>
          <w:szCs w:val="32"/>
          <w:lang w:val="en-US" w:eastAsia="zh-CN"/>
        </w:rPr>
        <w:t xml:space="preserve"> %</w:t>
      </w:r>
      <w:r>
        <w:rPr>
          <w:rFonts w:hint="eastAsia" w:ascii="Times New Roman" w:hAnsi="Times New Roman" w:eastAsia="仿宋_GB2312" w:cs="fang_song_gb2312"/>
          <w:kern w:val="0"/>
          <w:sz w:val="32"/>
          <w:szCs w:val="32"/>
          <w:lang w:val="en-US" w:eastAsia="zh-CN"/>
        </w:rPr>
        <w:t>。其中：</w:t>
      </w:r>
    </w:p>
    <w:p w14:paraId="6BF11060">
      <w:pPr>
        <w:pageBreakBefore w:val="0"/>
        <w:widowControl/>
        <w:numPr>
          <w:ilvl w:val="0"/>
          <w:numId w:val="0"/>
        </w:numPr>
        <w:kinsoku/>
        <w:wordWrap/>
        <w:overflowPunct/>
        <w:topLinePunct w:val="0"/>
        <w:autoSpaceDE/>
        <w:autoSpaceDN/>
        <w:bidi w:val="0"/>
        <w:adjustRightInd/>
        <w:snapToGrid/>
        <w:spacing w:before="240" w:after="240" w:line="240" w:lineRule="auto"/>
        <w:ind w:firstLine="643" w:firstLineChars="200"/>
        <w:jc w:val="left"/>
        <w:textAlignment w:val="auto"/>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lang w:eastAsia="zh-CN"/>
        </w:rPr>
        <w:t>（</w:t>
      </w:r>
      <w:r>
        <w:rPr>
          <w:rFonts w:hint="eastAsia" w:asciiTheme="minorEastAsia" w:hAnsiTheme="minorEastAsia" w:eastAsiaTheme="minorEastAsia" w:cstheme="minorEastAsia"/>
          <w:b/>
          <w:bCs/>
          <w:color w:val="000000"/>
          <w:kern w:val="0"/>
          <w:sz w:val="32"/>
          <w:szCs w:val="32"/>
          <w:lang w:val="en-US" w:eastAsia="zh-CN"/>
        </w:rPr>
        <w:t>一</w:t>
      </w:r>
      <w:r>
        <w:rPr>
          <w:rFonts w:hint="eastAsia" w:asciiTheme="minorEastAsia" w:hAnsiTheme="minorEastAsia" w:eastAsiaTheme="minorEastAsia" w:cstheme="minorEastAsia"/>
          <w:b/>
          <w:bCs/>
          <w:color w:val="000000"/>
          <w:kern w:val="0"/>
          <w:sz w:val="32"/>
          <w:szCs w:val="32"/>
          <w:lang w:eastAsia="zh-CN"/>
        </w:rPr>
        <w:t>）</w:t>
      </w:r>
      <w:r>
        <w:rPr>
          <w:rFonts w:hint="eastAsia" w:asciiTheme="minorEastAsia" w:hAnsiTheme="minorEastAsia" w:eastAsiaTheme="minorEastAsia" w:cstheme="minorEastAsia"/>
          <w:b/>
          <w:bCs/>
          <w:color w:val="000000"/>
          <w:kern w:val="0"/>
          <w:sz w:val="32"/>
          <w:szCs w:val="32"/>
        </w:rPr>
        <w:t>收入决算总计</w:t>
      </w:r>
      <w:r>
        <w:rPr>
          <w:rFonts w:hint="default" w:ascii="Times New Roman" w:hAnsi="Times New Roman" w:cs="Times New Roman" w:eastAsiaTheme="minorEastAsia"/>
          <w:b/>
          <w:bCs/>
          <w:color w:val="000000"/>
          <w:kern w:val="0"/>
          <w:sz w:val="32"/>
          <w:szCs w:val="32"/>
          <w:u w:val="single" w:color="000000"/>
        </w:rPr>
        <w:t> 233.87</w:t>
      </w:r>
      <w:r>
        <w:rPr>
          <w:rFonts w:hint="eastAsia" w:asciiTheme="minorEastAsia" w:hAnsiTheme="minorEastAsia" w:eastAsiaTheme="minorEastAsia" w:cstheme="minorEastAsia"/>
          <w:b/>
          <w:bCs/>
          <w:color w:val="000000"/>
          <w:kern w:val="0"/>
          <w:sz w:val="32"/>
          <w:szCs w:val="32"/>
        </w:rPr>
        <w:t>万元。包括：</w:t>
      </w:r>
    </w:p>
    <w:p w14:paraId="0205EA2A">
      <w:pPr>
        <w:pageBreakBefore w:val="0"/>
        <w:widowControl/>
        <w:numPr>
          <w:ilvl w:val="0"/>
          <w:numId w:val="0"/>
        </w:numPr>
        <w:kinsoku/>
        <w:wordWrap/>
        <w:overflowPunct/>
        <w:topLinePunct w:val="0"/>
        <w:autoSpaceDE/>
        <w:autoSpaceDN/>
        <w:bidi w:val="0"/>
        <w:adjustRightInd/>
        <w:snapToGrid/>
        <w:spacing w:before="240" w:after="240" w:line="240" w:lineRule="auto"/>
        <w:ind w:firstLine="640" w:firstLineChars="200"/>
        <w:jc w:val="left"/>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 xml:space="preserve"> 1.本年收入决算合计</w:t>
      </w:r>
      <w:r>
        <w:rPr>
          <w:rFonts w:hint="default" w:ascii="Times New Roman" w:hAnsi="Times New Roman" w:eastAsia="仿宋_GB2312" w:cs="Times New Roman"/>
          <w:kern w:val="0"/>
          <w:sz w:val="32"/>
          <w:szCs w:val="32"/>
          <w:u w:val="single"/>
          <w:lang w:val="en-US" w:eastAsia="zh-CN"/>
        </w:rPr>
        <w:t>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lang w:val="en-US" w:eastAsia="zh-CN"/>
        </w:rPr>
        <w:t>233.87</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fang_song_gb2312"/>
          <w:kern w:val="0"/>
          <w:sz w:val="32"/>
          <w:szCs w:val="32"/>
          <w:lang w:val="en-US" w:eastAsia="zh-CN"/>
        </w:rPr>
        <w:t xml:space="preserve"> </w:t>
      </w:r>
      <w:r>
        <w:rPr>
          <w:rFonts w:hint="eastAsia" w:ascii="Times New Roman" w:hAnsi="Times New Roman" w:eastAsia="仿宋_GB2312" w:cs="fang_song_gb2312"/>
          <w:kern w:val="0"/>
          <w:sz w:val="32"/>
          <w:szCs w:val="32"/>
          <w:lang w:val="en-US" w:eastAsia="zh-CN"/>
        </w:rPr>
        <w:t>万元。与上年决算相比，减少</w:t>
      </w:r>
      <w:r>
        <w:rPr>
          <w:rFonts w:hint="eastAsia" w:eastAsia="仿宋_GB2312" w:cs="fang_song_gb2312"/>
          <w:kern w:val="0"/>
          <w:sz w:val="32"/>
          <w:szCs w:val="32"/>
          <w:u w:val="single"/>
          <w:lang w:val="en-US" w:eastAsia="zh-CN"/>
        </w:rPr>
        <w:t xml:space="preserve"> </w:t>
      </w:r>
      <w:r>
        <w:rPr>
          <w:rFonts w:hint="default" w:ascii="Times New Roman" w:hAnsi="Times New Roman" w:eastAsia="仿宋_GB2312" w:cs="Times New Roman"/>
          <w:kern w:val="0"/>
          <w:sz w:val="32"/>
          <w:szCs w:val="32"/>
          <w:u w:val="single"/>
          <w:lang w:val="en-US" w:eastAsia="zh-CN"/>
        </w:rPr>
        <w:t>4.79</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万元，下降</w:t>
      </w:r>
      <w:r>
        <w:rPr>
          <w:rFonts w:hint="default"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lang w:val="en-US" w:eastAsia="zh-CN"/>
        </w:rPr>
        <w:t>2.01 %</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，变动原因：人员变动、工资调整。</w:t>
      </w:r>
    </w:p>
    <w:p w14:paraId="72FBFAA9">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  2.使用非财政拨款结余（含专用结余）</w:t>
      </w:r>
      <w:r>
        <w:rPr>
          <w:rFonts w:hint="default"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lang w:val="en-US" w:eastAsia="zh-CN"/>
        </w:rPr>
        <w:t>0</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万元。与上年决算相比，增加</w:t>
      </w:r>
      <w:r>
        <w:rPr>
          <w:rFonts w:hint="eastAsia" w:ascii="Times New Roman" w:hAnsi="Times New Roman" w:eastAsia="仿宋_GB2312" w:cs="Times New Roman"/>
          <w:kern w:val="0"/>
          <w:sz w:val="32"/>
          <w:szCs w:val="32"/>
          <w:u w:val="single"/>
          <w:lang w:val="en-US" w:eastAsia="zh-CN"/>
        </w:rPr>
        <w:t xml:space="preserve"> </w:t>
      </w:r>
      <w:r>
        <w:rPr>
          <w:rFonts w:hint="eastAsia"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lang w:val="en-US" w:eastAsia="zh-CN"/>
        </w:rPr>
        <w:t>0</w:t>
      </w:r>
      <w:r>
        <w:rPr>
          <w:rFonts w:hint="eastAsia"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Times New Roman"/>
          <w:kern w:val="0"/>
          <w:sz w:val="32"/>
          <w:szCs w:val="32"/>
          <w:u w:val="single"/>
          <w:lang w:val="en-US" w:eastAsia="zh-CN"/>
        </w:rPr>
        <w:t xml:space="preserve"> </w:t>
      </w:r>
      <w:r>
        <w:rPr>
          <w:rFonts w:hint="eastAsia"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lang w:val="en-US" w:eastAsia="zh-CN"/>
        </w:rPr>
        <w:t>0 %</w:t>
      </w:r>
      <w:r>
        <w:rPr>
          <w:rFonts w:hint="eastAsia"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，变动原因：本单位不存在此项内容。</w:t>
      </w:r>
    </w:p>
    <w:p w14:paraId="7EAFC0AB">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  3.年初结转和结余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Times New Roman"/>
          <w:kern w:val="0"/>
          <w:sz w:val="32"/>
          <w:szCs w:val="32"/>
          <w:u w:val="single"/>
          <w:lang w:val="en-US" w:eastAsia="zh-CN"/>
        </w:rPr>
        <w:t>0.01</w:t>
      </w:r>
      <w:r>
        <w:rPr>
          <w:rFonts w:hint="eastAsia"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 xml:space="preserve"> 万元。与上年决算相比，增加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Times New Roman"/>
          <w:kern w:val="0"/>
          <w:sz w:val="32"/>
          <w:szCs w:val="32"/>
          <w:u w:val="single"/>
          <w:lang w:val="en-US" w:eastAsia="zh-CN"/>
        </w:rPr>
        <w:t>0.01</w:t>
      </w:r>
      <w:r>
        <w:rPr>
          <w:rFonts w:hint="eastAsia"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Times New Roman"/>
          <w:kern w:val="0"/>
          <w:sz w:val="32"/>
          <w:szCs w:val="32"/>
          <w:u w:val="single"/>
          <w:lang w:val="en-US" w:eastAsia="zh-CN"/>
        </w:rPr>
        <w:t xml:space="preserve"> 100 %</w:t>
      </w:r>
      <w:r>
        <w:rPr>
          <w:rFonts w:hint="eastAsia"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，变动原因：</w:t>
      </w:r>
      <w:r>
        <w:rPr>
          <w:rFonts w:hint="eastAsia" w:eastAsia="仿宋_GB2312" w:cs="fang_song_gb2312"/>
          <w:kern w:val="0"/>
          <w:sz w:val="32"/>
          <w:szCs w:val="32"/>
          <w:highlight w:val="none"/>
          <w:lang w:val="en-US" w:eastAsia="zh-CN"/>
        </w:rPr>
        <w:t>利息收入</w:t>
      </w:r>
      <w:r>
        <w:rPr>
          <w:rFonts w:hint="eastAsia" w:eastAsia="仿宋_GB2312" w:cs="Times New Roman"/>
          <w:b w:val="0"/>
          <w:bCs w:val="0"/>
          <w:kern w:val="0"/>
          <w:sz w:val="32"/>
          <w:szCs w:val="32"/>
          <w:highlight w:val="none"/>
          <w:lang w:val="en-US" w:eastAsia="zh-CN"/>
        </w:rPr>
        <w:t>增加</w:t>
      </w:r>
      <w:r>
        <w:rPr>
          <w:rFonts w:hint="eastAsia" w:ascii="Times New Roman" w:hAnsi="Times New Roman" w:eastAsia="仿宋_GB2312" w:cs="fang_song_gb2312"/>
          <w:kern w:val="0"/>
          <w:sz w:val="32"/>
          <w:szCs w:val="32"/>
          <w:highlight w:val="none"/>
          <w:lang w:val="en-US" w:eastAsia="zh-CN"/>
        </w:rPr>
        <w:t>。</w:t>
      </w:r>
    </w:p>
    <w:p w14:paraId="3CB67EFB">
      <w:pPr>
        <w:pageBreakBefore w:val="0"/>
        <w:widowControl/>
        <w:kinsoku/>
        <w:wordWrap/>
        <w:overflowPunct/>
        <w:topLinePunct w:val="0"/>
        <w:autoSpaceDE/>
        <w:autoSpaceDN/>
        <w:bidi w:val="0"/>
        <w:adjustRightInd/>
        <w:snapToGrid/>
        <w:spacing w:before="240" w:after="240" w:line="240" w:lineRule="auto"/>
        <w:ind w:firstLine="643" w:firstLineChars="200"/>
        <w:jc w:val="left"/>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color w:val="000000"/>
          <w:kern w:val="0"/>
          <w:sz w:val="32"/>
          <w:szCs w:val="32"/>
        </w:rPr>
        <w:t>（二）支出决算总计</w:t>
      </w:r>
      <w:r>
        <w:rPr>
          <w:rFonts w:hint="default" w:ascii="Times New Roman" w:hAnsi="Times New Roman" w:cs="Times New Roman" w:eastAsiaTheme="minorEastAsia"/>
          <w:b/>
          <w:bCs/>
          <w:color w:val="000000"/>
          <w:kern w:val="0"/>
          <w:sz w:val="32"/>
          <w:szCs w:val="32"/>
          <w:u w:val="single" w:color="000000"/>
        </w:rPr>
        <w:t> </w:t>
      </w:r>
      <w:r>
        <w:rPr>
          <w:rFonts w:hint="eastAsia" w:ascii="Times New Roman" w:hAnsi="Times New Roman" w:cs="Times New Roman" w:eastAsiaTheme="minorEastAsia"/>
          <w:b/>
          <w:bCs/>
          <w:color w:val="000000"/>
          <w:kern w:val="0"/>
          <w:sz w:val="32"/>
          <w:szCs w:val="32"/>
          <w:u w:val="single" w:color="000000"/>
          <w:lang w:val="en-US" w:eastAsia="zh-CN"/>
        </w:rPr>
        <w:t xml:space="preserve"> </w:t>
      </w:r>
      <w:r>
        <w:rPr>
          <w:rFonts w:hint="default" w:ascii="Times New Roman" w:hAnsi="Times New Roman" w:cs="Times New Roman" w:eastAsiaTheme="minorEastAsia"/>
          <w:b/>
          <w:bCs/>
          <w:color w:val="000000"/>
          <w:kern w:val="0"/>
          <w:sz w:val="32"/>
          <w:szCs w:val="32"/>
          <w:u w:val="single" w:color="000000"/>
        </w:rPr>
        <w:t>233.87</w:t>
      </w:r>
      <w:r>
        <w:rPr>
          <w:rFonts w:hint="eastAsia" w:ascii="Times New Roman" w:hAnsi="Times New Roman" w:cs="Times New Roman" w:eastAsiaTheme="minorEastAsia"/>
          <w:b/>
          <w:bCs/>
          <w:color w:val="000000"/>
          <w:kern w:val="0"/>
          <w:sz w:val="32"/>
          <w:szCs w:val="32"/>
          <w:u w:val="single" w:color="000000"/>
          <w:lang w:val="en-US" w:eastAsia="zh-CN"/>
        </w:rPr>
        <w:t xml:space="preserve"> </w:t>
      </w:r>
      <w:r>
        <w:rPr>
          <w:rFonts w:hint="eastAsia" w:asciiTheme="minorEastAsia" w:hAnsiTheme="minorEastAsia" w:eastAsiaTheme="minorEastAsia" w:cstheme="minorEastAsia"/>
          <w:b/>
          <w:bCs/>
          <w:color w:val="000000"/>
          <w:kern w:val="0"/>
          <w:sz w:val="32"/>
          <w:szCs w:val="32"/>
        </w:rPr>
        <w:t>万元。包括：</w:t>
      </w:r>
    </w:p>
    <w:p w14:paraId="28009020">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1.本年支出决算合计</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xml:space="preserve">233.86 </w:t>
      </w:r>
      <w:r>
        <w:rPr>
          <w:rFonts w:hint="eastAsia" w:ascii="Times New Roman" w:hAnsi="Times New Roman" w:eastAsia="仿宋_GB2312" w:cs="fang_song_gb2312"/>
          <w:kern w:val="0"/>
          <w:sz w:val="32"/>
          <w:szCs w:val="32"/>
          <w:lang w:val="en-US" w:eastAsia="zh-CN"/>
        </w:rPr>
        <w:t>万元。与上年决算相比，减少</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4.79</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 xml:space="preserve">万元，下降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2.01 %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，变动原因：人员变动、工资调整。</w:t>
      </w:r>
    </w:p>
    <w:p w14:paraId="3979B7C8">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2.结余分配</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万元。结余分配事项：本单位不存在此项内容。与上年决算相比，增加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万元，增长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，变动原因：本单位不存在此项内容。</w:t>
      </w:r>
    </w:p>
    <w:p w14:paraId="0ED2A312">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 xml:space="preserve"> 3.年末结转和结余</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xml:space="preserve">0.01 </w:t>
      </w:r>
      <w:r>
        <w:rPr>
          <w:rFonts w:hint="eastAsia" w:ascii="Times New Roman" w:hAnsi="Times New Roman" w:eastAsia="仿宋_GB2312" w:cs="fang_song_gb2312"/>
          <w:kern w:val="0"/>
          <w:sz w:val="32"/>
          <w:szCs w:val="32"/>
          <w:lang w:val="en-US" w:eastAsia="zh-CN"/>
        </w:rPr>
        <w:t>万元。结转和结余事项：</w:t>
      </w:r>
      <w:r>
        <w:rPr>
          <w:rFonts w:ascii="仿宋_GB2312" w:hAnsi="仿宋_GB2312" w:eastAsia="仿宋_GB2312" w:cs="仿宋_GB2312"/>
          <w:color w:val="000000"/>
          <w:kern w:val="0"/>
          <w:sz w:val="32"/>
          <w:szCs w:val="32"/>
        </w:rPr>
        <w:t>待付年初结转结余</w:t>
      </w:r>
      <w:r>
        <w:rPr>
          <w:rFonts w:hint="eastAsia" w:ascii="Times New Roman" w:hAnsi="Times New Roman" w:eastAsia="仿宋_GB2312" w:cs="fang_song_gb2312"/>
          <w:kern w:val="0"/>
          <w:sz w:val="32"/>
          <w:szCs w:val="32"/>
          <w:lang w:val="en-US" w:eastAsia="zh-CN"/>
        </w:rPr>
        <w:t>。与上年决算相比，增加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0.01</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 xml:space="preserve"> 万元，增长</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100 %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，变动原因：利息收入增加。</w:t>
      </w:r>
    </w:p>
    <w:p w14:paraId="614C17D5">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b/>
          <w:bCs/>
          <w:kern w:val="0"/>
          <w:sz w:val="32"/>
          <w:szCs w:val="32"/>
          <w:lang w:val="en-US" w:eastAsia="zh-CN" w:bidi="ar-SA"/>
        </w:rPr>
      </w:pPr>
      <w:bookmarkStart w:id="10" w:name="_Toc17208"/>
      <w:r>
        <w:rPr>
          <w:rFonts w:hint="eastAsia" w:asciiTheme="minorEastAsia" w:hAnsiTheme="minorEastAsia" w:eastAsiaTheme="minorEastAsia" w:cstheme="minorEastAsia"/>
          <w:b/>
          <w:bCs/>
          <w:kern w:val="0"/>
          <w:sz w:val="32"/>
          <w:szCs w:val="32"/>
          <w:lang w:val="en-US" w:eastAsia="zh-CN" w:bidi="ar-SA"/>
        </w:rPr>
        <w:t>二、收入决算情况说明</w:t>
      </w:r>
      <w:bookmarkEnd w:id="10"/>
    </w:p>
    <w:p w14:paraId="2B26C9A0">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科尔沁左翼中旗政府办公室政务保障中心2024年度本年收入决算合计</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233.87</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万元，其中：</w:t>
      </w:r>
    </w:p>
    <w:p w14:paraId="1652256B">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u w:val="single"/>
          <w:lang w:val="en-US" w:eastAsia="zh-CN"/>
        </w:rPr>
      </w:pPr>
      <w:r>
        <w:rPr>
          <w:rFonts w:hint="eastAsia" w:ascii="Times New Roman" w:hAnsi="Times New Roman" w:eastAsia="仿宋_GB2312" w:cs="fang_song_gb2312"/>
          <w:kern w:val="0"/>
          <w:sz w:val="32"/>
          <w:szCs w:val="32"/>
          <w:lang w:val="en-US" w:eastAsia="zh-CN"/>
        </w:rPr>
        <w:t>本年一般公共预算财政拨款收入</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233.86</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 xml:space="preserve">万元，占 </w:t>
      </w:r>
      <w:r>
        <w:rPr>
          <w:rFonts w:hint="eastAsia" w:ascii="Times New Roman" w:hAnsi="Times New Roman" w:eastAsia="仿宋_GB2312" w:cs="fang_song_gb2312"/>
          <w:kern w:val="0"/>
          <w:sz w:val="32"/>
          <w:szCs w:val="32"/>
          <w:u w:val="single"/>
          <w:lang w:val="en-US" w:eastAsia="zh-CN"/>
        </w:rPr>
        <w:t>100.00 %</w:t>
      </w:r>
    </w:p>
    <w:p w14:paraId="15260D5A">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本年政府性基金预算财政拨款收入</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6DFAFE4A">
      <w:pPr>
        <w:keepNext w:val="0"/>
        <w:keepLines w:val="0"/>
        <w:pageBreakBefore w:val="0"/>
        <w:widowControl/>
        <w:kinsoku/>
        <w:wordWrap/>
        <w:overflowPunct/>
        <w:topLinePunct w:val="0"/>
        <w:autoSpaceDE/>
        <w:autoSpaceDN/>
        <w:bidi w:val="0"/>
        <w:adjustRightInd/>
        <w:snapToGrid/>
        <w:spacing w:before="240" w:after="240" w:line="240" w:lineRule="auto"/>
        <w:ind w:firstLine="684" w:firstLineChars="200"/>
        <w:jc w:val="left"/>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spacing w:val="11"/>
          <w:kern w:val="0"/>
          <w:sz w:val="32"/>
          <w:szCs w:val="32"/>
          <w:lang w:val="en-US" w:eastAsia="zh-CN"/>
        </w:rPr>
        <w:t>本年国有资本经营预算财政拨款收入</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xml:space="preserve">0 % </w:t>
      </w:r>
      <w:r>
        <w:rPr>
          <w:rFonts w:hint="eastAsia" w:ascii="Times New Roman" w:hAnsi="Times New Roman" w:eastAsia="仿宋_GB2312" w:cs="fang_song_gb2312"/>
          <w:kern w:val="0"/>
          <w:sz w:val="32"/>
          <w:szCs w:val="32"/>
          <w:lang w:val="en-US" w:eastAsia="zh-CN"/>
        </w:rPr>
        <w:t>；</w:t>
      </w:r>
    </w:p>
    <w:p w14:paraId="666EE78C">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本年上级补助收入</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04C7C6C0">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本年事业收入</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506F2B81">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本年经营收入</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201A4719">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本年附属单位上缴收入</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1F13228A">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本年其他收入</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0.01</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5E8B03B6">
      <w:pPr>
        <w:widowControl/>
        <w:spacing w:before="240" w:after="24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0E00FE"/>
          <w:kern w:val="0"/>
          <w:sz w:val="32"/>
          <w:szCs w:val="32"/>
        </w:rPr>
        <w:t xml:space="preserve">  </w:t>
      </w:r>
    </w:p>
    <w:p w14:paraId="11E899E1">
      <w:pPr>
        <w:widowControl/>
        <w:spacing w:before="240" w:after="24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trike w:val="0"/>
          <w:kern w:val="0"/>
          <w:sz w:val="24"/>
          <w:u w:val="none"/>
          <w:lang w:eastAsia="zh-CN"/>
        </w:rPr>
        <w:drawing>
          <wp:inline distT="0" distB="0" distL="114300" distR="114300">
            <wp:extent cx="5303520" cy="2598420"/>
            <wp:effectExtent l="4445" t="4445" r="6985"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01224E8">
      <w:pPr>
        <w:widowControl/>
        <w:spacing w:before="240" w:after="24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7"/>
          <w:szCs w:val="27"/>
        </w:rPr>
        <w:t>图1.收入决算图</w:t>
      </w:r>
    </w:p>
    <w:p w14:paraId="1122191B">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b/>
          <w:bCs/>
          <w:kern w:val="0"/>
          <w:sz w:val="32"/>
          <w:szCs w:val="32"/>
        </w:rPr>
      </w:pPr>
      <w:bookmarkStart w:id="11" w:name="_Toc28072"/>
      <w:r>
        <w:rPr>
          <w:rFonts w:hint="eastAsia" w:asciiTheme="minorEastAsia" w:hAnsiTheme="minorEastAsia" w:eastAsiaTheme="minorEastAsia" w:cstheme="minorEastAsia"/>
          <w:b/>
          <w:bCs/>
          <w:kern w:val="0"/>
          <w:sz w:val="32"/>
          <w:szCs w:val="32"/>
        </w:rPr>
        <w:t>三、支出决算情况说明</w:t>
      </w:r>
      <w:bookmarkEnd w:id="11"/>
    </w:p>
    <w:p w14:paraId="48884B91">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 2024年度本年支出决算合计</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233.86</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万元，其中：</w:t>
      </w:r>
    </w:p>
    <w:p w14:paraId="37913B34">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本年基本支出</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233.86</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100.00 %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481D29E7">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本年项目支出</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7D1DDBD2">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本年上缴上级支出</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w:t>
      </w:r>
    </w:p>
    <w:p w14:paraId="50A43BB5">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本年经营支出</w:t>
      </w:r>
      <w:r>
        <w:rPr>
          <w:rFonts w:hint="eastAsia" w:ascii="Times New Roman" w:hAnsi="Times New Roman" w:eastAsia="仿宋_GB2312" w:cs="fang_song_gb2312"/>
          <w:kern w:val="0"/>
          <w:sz w:val="32"/>
          <w:szCs w:val="32"/>
          <w:u w:val="single"/>
          <w:lang w:val="en-US" w:eastAsia="zh-CN"/>
        </w:rPr>
        <w:t> 0</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0 %</w:t>
      </w:r>
      <w:r>
        <w:rPr>
          <w:rFonts w:hint="eastAsia" w:ascii="Times New Roman" w:hAnsi="Times New Roman" w:eastAsia="仿宋_GB2312" w:cs="fang_song_gb2312"/>
          <w:kern w:val="0"/>
          <w:sz w:val="32"/>
          <w:szCs w:val="32"/>
          <w:lang w:val="en-US" w:eastAsia="zh-CN"/>
        </w:rPr>
        <w:t>；</w:t>
      </w:r>
    </w:p>
    <w:p w14:paraId="685C510D">
      <w:pPr>
        <w:keepNext w:val="0"/>
        <w:keepLines w:val="0"/>
        <w:pageBreakBefore w:val="0"/>
        <w:widowControl/>
        <w:kinsoku/>
        <w:wordWrap/>
        <w:overflowPunct/>
        <w:topLinePunct w:val="0"/>
        <w:autoSpaceDE/>
        <w:autoSpaceDN/>
        <w:bidi w:val="0"/>
        <w:adjustRightInd/>
        <w:snapToGrid/>
        <w:spacing w:before="240" w:after="240" w:line="240" w:lineRule="auto"/>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本年对附属单位补助支出</w:t>
      </w:r>
      <w:r>
        <w:rPr>
          <w:rFonts w:hint="eastAsia" w:ascii="Times New Roman" w:hAnsi="Times New Roman" w:eastAsia="仿宋_GB2312" w:cs="fang_song_gb2312"/>
          <w:kern w:val="0"/>
          <w:sz w:val="32"/>
          <w:szCs w:val="32"/>
          <w:u w:val="single"/>
          <w:lang w:val="en-US" w:eastAsia="zh-CN"/>
        </w:rPr>
        <w:t> 0</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0 %</w:t>
      </w:r>
      <w:r>
        <w:rPr>
          <w:rFonts w:hint="eastAsia" w:ascii="Times New Roman" w:hAnsi="Times New Roman" w:eastAsia="仿宋_GB2312" w:cs="fang_song_gb2312"/>
          <w:kern w:val="0"/>
          <w:sz w:val="32"/>
          <w:szCs w:val="32"/>
          <w:lang w:val="en-US" w:eastAsia="zh-CN"/>
        </w:rPr>
        <w:t>。</w:t>
      </w:r>
    </w:p>
    <w:p w14:paraId="779B3A2B">
      <w:pPr>
        <w:widowControl/>
        <w:spacing w:before="240" w:after="24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color w:val="0E00FE"/>
          <w:kern w:val="0"/>
          <w:sz w:val="27"/>
          <w:szCs w:val="27"/>
        </w:rPr>
        <w:t xml:space="preserve">  </w:t>
      </w:r>
      <w:r>
        <w:rPr>
          <w:rFonts w:hint="eastAsia" w:asciiTheme="minorEastAsia" w:hAnsiTheme="minorEastAsia" w:eastAsiaTheme="minorEastAsia" w:cstheme="minorEastAsia"/>
          <w:kern w:val="0"/>
          <w:sz w:val="24"/>
          <w:lang w:eastAsia="zh-CN"/>
        </w:rPr>
        <w:drawing>
          <wp:inline distT="0" distB="0" distL="114300" distR="114300">
            <wp:extent cx="5256530" cy="2617470"/>
            <wp:effectExtent l="4445" t="4445" r="1587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1C465A">
      <w:pPr>
        <w:widowControl/>
        <w:spacing w:before="240" w:after="24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7"/>
          <w:szCs w:val="27"/>
        </w:rPr>
        <w:t>图2.支出决算图</w:t>
      </w:r>
    </w:p>
    <w:p w14:paraId="20DD9415">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b/>
          <w:bCs/>
          <w:kern w:val="0"/>
          <w:sz w:val="28"/>
          <w:szCs w:val="28"/>
        </w:rPr>
      </w:pPr>
      <w:bookmarkStart w:id="12" w:name="_Toc25908"/>
      <w:r>
        <w:rPr>
          <w:rFonts w:hint="eastAsia" w:asciiTheme="minorEastAsia" w:hAnsiTheme="minorEastAsia" w:eastAsiaTheme="minorEastAsia" w:cstheme="minorEastAsia"/>
          <w:b/>
          <w:bCs/>
          <w:kern w:val="0"/>
          <w:sz w:val="32"/>
          <w:szCs w:val="32"/>
        </w:rPr>
        <w:t>四、财政拨款收入支出决算总体情况说明</w:t>
      </w:r>
      <w:bookmarkEnd w:id="12"/>
    </w:p>
    <w:p w14:paraId="03C3E7B4">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科尔沁左翼中旗政府办公室政务保障中心2024年度财政拨款收入、支出决算总计均为</w:t>
      </w:r>
      <w:r>
        <w:rPr>
          <w:rFonts w:hint="eastAsia" w:asciiTheme="minorEastAsia" w:hAnsiTheme="minorEastAsia" w:eastAsiaTheme="minorEastAsia" w:cstheme="minorEastAsia"/>
          <w:color w:val="000000"/>
          <w:kern w:val="0"/>
          <w:sz w:val="32"/>
          <w:szCs w:val="32"/>
          <w:u w:val="single" w:color="000000"/>
        </w:rPr>
        <w:t> </w:t>
      </w:r>
      <w:r>
        <w:rPr>
          <w:rFonts w:hint="default" w:ascii="Times New Roman" w:hAnsi="Times New Roman" w:cs="Times New Roman" w:eastAsiaTheme="minorEastAsia"/>
          <w:color w:val="000000"/>
          <w:kern w:val="0"/>
          <w:sz w:val="32"/>
          <w:szCs w:val="32"/>
          <w:u w:val="single" w:color="000000"/>
        </w:rPr>
        <w:t>233.86</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万元，与年初预算相比，收、支总计各减少</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u w:val="single" w:color="auto"/>
        </w:rPr>
        <w:t>42.85</w:t>
      </w:r>
      <w:r>
        <w:rPr>
          <w:rFonts w:hint="default" w:ascii="Times New Roman" w:hAnsi="Times New Roman" w:cs="Times New Roman" w:eastAsiaTheme="minorEastAsia"/>
          <w:color w:val="000000"/>
          <w:kern w:val="0"/>
          <w:sz w:val="32"/>
          <w:szCs w:val="32"/>
          <w:u w:val="single" w:color="auto"/>
          <w:lang w:val="en-US" w:eastAsia="zh-CN"/>
        </w:rPr>
        <w:t xml:space="preserve"> </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eastAsia" w:ascii="Times New Roman" w:hAnsi="Times New Roman" w:eastAsia="仿宋_GB2312" w:cs="fang_song_gb2312"/>
          <w:kern w:val="0"/>
          <w:sz w:val="32"/>
          <w:szCs w:val="32"/>
          <w:lang w:val="en-US" w:eastAsia="zh-CN"/>
        </w:rPr>
        <w:t xml:space="preserve">万元，下降 </w:t>
      </w:r>
      <w:r>
        <w:rPr>
          <w:rFonts w:hint="default" w:ascii="Times New Roman" w:hAnsi="Times New Roman" w:cs="Times New Roman" w:eastAsiaTheme="minorEastAsia"/>
          <w:color w:val="000000"/>
          <w:kern w:val="0"/>
          <w:sz w:val="32"/>
          <w:szCs w:val="32"/>
          <w:u w:val="single" w:color="auto"/>
        </w:rPr>
        <w:t>15.4</w:t>
      </w:r>
      <w:r>
        <w:rPr>
          <w:rFonts w:hint="default" w:ascii="Times New Roman" w:hAnsi="Times New Roman" w:cs="Times New Roman" w:eastAsiaTheme="minorEastAsia"/>
          <w:color w:val="000000"/>
          <w:kern w:val="0"/>
          <w:sz w:val="32"/>
          <w:szCs w:val="32"/>
          <w:u w:val="single" w:color="auto"/>
          <w:lang w:val="en-US" w:eastAsia="zh-CN"/>
        </w:rPr>
        <w:t xml:space="preserve">9 </w:t>
      </w:r>
      <w:r>
        <w:rPr>
          <w:rFonts w:hint="default" w:ascii="Times New Roman" w:hAnsi="Times New Roman" w:cs="Times New Roman" w:eastAsiaTheme="minorEastAsia"/>
          <w:color w:val="000000"/>
          <w:kern w:val="0"/>
          <w:sz w:val="32"/>
          <w:szCs w:val="32"/>
        </w:rPr>
        <w:t>%</w:t>
      </w:r>
      <w:r>
        <w:rPr>
          <w:rFonts w:hint="eastAsia" w:asciiTheme="minorEastAsia" w:hAnsiTheme="minorEastAsia" w:eastAsiaTheme="minorEastAsia" w:cstheme="minorEastAsia"/>
          <w:color w:val="000000"/>
          <w:kern w:val="0"/>
          <w:sz w:val="32"/>
          <w:szCs w:val="32"/>
        </w:rPr>
        <w:t>，</w:t>
      </w:r>
      <w:r>
        <w:rPr>
          <w:rFonts w:hint="eastAsia" w:ascii="Times New Roman" w:hAnsi="Times New Roman" w:eastAsia="仿宋_GB2312" w:cs="fang_song_gb2312"/>
          <w:kern w:val="0"/>
          <w:sz w:val="32"/>
          <w:szCs w:val="32"/>
          <w:lang w:val="en-US" w:eastAsia="zh-CN"/>
        </w:rPr>
        <w:t>变动原因：人员变动、工资调整；与上年决算相比，收、支总计各减少</w:t>
      </w:r>
      <w:r>
        <w:rPr>
          <w:rFonts w:hint="default" w:ascii="Times New Roman" w:hAnsi="Times New Roman" w:cs="Times New Roman" w:eastAsiaTheme="minorEastAsia"/>
          <w:color w:val="000000"/>
          <w:kern w:val="0"/>
          <w:sz w:val="32"/>
          <w:szCs w:val="32"/>
          <w:u w:val="single" w:color="000000"/>
        </w:rPr>
        <w:t> </w:t>
      </w:r>
      <w:r>
        <w:rPr>
          <w:rFonts w:hint="eastAsia" w:cs="Times New Roman" w:eastAsiaTheme="minorEastAsia"/>
          <w:color w:val="000000"/>
          <w:kern w:val="0"/>
          <w:sz w:val="32"/>
          <w:szCs w:val="32"/>
          <w:u w:val="single" w:color="000000"/>
          <w:lang w:val="en-US" w:eastAsia="zh-CN"/>
        </w:rPr>
        <w:t xml:space="preserve"> </w:t>
      </w:r>
      <w:r>
        <w:rPr>
          <w:rFonts w:hint="default" w:ascii="Times New Roman" w:hAnsi="Times New Roman" w:cs="Times New Roman" w:eastAsiaTheme="minorEastAsia"/>
          <w:color w:val="000000"/>
          <w:kern w:val="0"/>
          <w:sz w:val="32"/>
          <w:szCs w:val="32"/>
          <w:u w:val="single" w:color="000000"/>
        </w:rPr>
        <w:t>4.79</w:t>
      </w:r>
      <w:r>
        <w:rPr>
          <w:rFonts w:hint="default" w:ascii="Times New Roman" w:hAnsi="Times New Roman" w:cs="Times New Roman" w:eastAsia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万元，下降</w:t>
      </w:r>
      <w:r>
        <w:rPr>
          <w:rFonts w:hint="default" w:ascii="Times New Roman" w:hAnsi="Times New Roman" w:cs="Times New Roman" w:eastAsiaTheme="minorEastAsia"/>
          <w:color w:val="000000"/>
          <w:kern w:val="0"/>
          <w:sz w:val="32"/>
          <w:szCs w:val="32"/>
          <w:u w:val="single" w:color="000000"/>
        </w:rPr>
        <w:t xml:space="preserve"> 2.01</w:t>
      </w:r>
      <w:r>
        <w:rPr>
          <w:rFonts w:hint="eastAsia" w:cs="Times New Roman" w:eastAsiaTheme="minorEastAsia"/>
          <w:color w:val="000000"/>
          <w:kern w:val="0"/>
          <w:sz w:val="32"/>
          <w:szCs w:val="32"/>
          <w:u w:val="single" w:color="000000"/>
          <w:lang w:val="en-US" w:eastAsia="zh-CN"/>
        </w:rPr>
        <w:t xml:space="preserve"> </w:t>
      </w:r>
      <w:r>
        <w:rPr>
          <w:rFonts w:hint="default" w:ascii="Times New Roman" w:hAnsi="Times New Roman" w:cs="Times New Roman" w:eastAsiaTheme="minorEastAsia"/>
          <w:color w:val="000000"/>
          <w:kern w:val="0"/>
          <w:sz w:val="27"/>
          <w:szCs w:val="27"/>
        </w:rPr>
        <w:t>%</w:t>
      </w:r>
      <w:r>
        <w:rPr>
          <w:rFonts w:hint="eastAsia" w:asciiTheme="minorEastAsia" w:hAnsiTheme="minorEastAsia" w:eastAsiaTheme="minorEastAsia" w:cstheme="minorEastAsia"/>
          <w:color w:val="000000"/>
          <w:kern w:val="0"/>
          <w:sz w:val="27"/>
          <w:szCs w:val="27"/>
        </w:rPr>
        <w:t>，</w:t>
      </w:r>
      <w:r>
        <w:rPr>
          <w:rFonts w:hint="eastAsia" w:ascii="Times New Roman" w:hAnsi="Times New Roman" w:eastAsia="仿宋_GB2312" w:cs="fang_song_gb2312"/>
          <w:kern w:val="0"/>
          <w:sz w:val="32"/>
          <w:szCs w:val="32"/>
          <w:lang w:val="en-US" w:eastAsia="zh-CN"/>
        </w:rPr>
        <w:t>变动原因：人员变动、工资调整。</w:t>
      </w:r>
    </w:p>
    <w:p w14:paraId="3A431FFE">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kern w:val="0"/>
          <w:sz w:val="28"/>
          <w:szCs w:val="28"/>
        </w:rPr>
      </w:pPr>
      <w:bookmarkStart w:id="13" w:name="_Toc28649"/>
      <w:r>
        <w:rPr>
          <w:rFonts w:hint="eastAsia" w:asciiTheme="minorEastAsia" w:hAnsiTheme="minorEastAsia" w:eastAsiaTheme="minorEastAsia" w:cstheme="minorEastAsia"/>
          <w:b/>
          <w:bCs/>
          <w:kern w:val="0"/>
          <w:sz w:val="32"/>
          <w:szCs w:val="32"/>
        </w:rPr>
        <w:t>五、一般公共预算财政拨款支出决算情况说明</w:t>
      </w:r>
      <w:bookmarkEnd w:id="13"/>
    </w:p>
    <w:p w14:paraId="40AB724D">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heme="minorEastAsia" w:hAnsiTheme="minorEastAsia" w:eastAsiaTheme="minorEastAsia" w:cstheme="minorEastAsia"/>
          <w:kern w:val="0"/>
          <w:sz w:val="32"/>
          <w:szCs w:val="32"/>
        </w:rPr>
      </w:pPr>
      <w:r>
        <w:rPr>
          <w:rFonts w:hint="eastAsia" w:ascii="Times New Roman" w:hAnsi="Times New Roman" w:eastAsia="仿宋_GB2312" w:cs="fang_song_gb2312"/>
          <w:kern w:val="0"/>
          <w:sz w:val="32"/>
          <w:szCs w:val="32"/>
          <w:lang w:val="en-US" w:eastAsia="zh-CN"/>
        </w:rPr>
        <w:t>科尔沁左翼中旗政府办公室政务保障中心</w:t>
      </w:r>
      <w:r>
        <w:rPr>
          <w:rFonts w:hint="eastAsia" w:asciiTheme="minorEastAsia" w:hAnsiTheme="minorEastAsia" w:eastAsiaTheme="minorEastAsia" w:cstheme="minorEastAsia"/>
          <w:color w:val="000000"/>
          <w:kern w:val="0"/>
          <w:sz w:val="32"/>
          <w:szCs w:val="32"/>
        </w:rPr>
        <w:t>2024</w:t>
      </w:r>
      <w:r>
        <w:rPr>
          <w:rFonts w:hint="eastAsia" w:ascii="Times New Roman" w:hAnsi="Times New Roman" w:eastAsia="仿宋_GB2312" w:cs="fang_song_gb2312"/>
          <w:kern w:val="0"/>
          <w:sz w:val="32"/>
          <w:szCs w:val="32"/>
          <w:lang w:val="en-US" w:eastAsia="zh-CN"/>
        </w:rPr>
        <w:t>年度一般公共预算财政拨款支出决算</w:t>
      </w:r>
      <w:r>
        <w:rPr>
          <w:rFonts w:hint="eastAsia" w:asciiTheme="minorEastAsia" w:hAnsiTheme="minorEastAsia" w:eastAsiaTheme="minorEastAsia" w:cstheme="minorEastAsia"/>
          <w:color w:val="000000"/>
          <w:kern w:val="0"/>
          <w:sz w:val="32"/>
          <w:szCs w:val="32"/>
          <w:u w:val="single" w:color="000000"/>
        </w:rPr>
        <w:t> </w:t>
      </w:r>
      <w:r>
        <w:rPr>
          <w:rFonts w:hint="default" w:ascii="Times New Roman" w:hAnsi="Times New Roman" w:cs="Times New Roman" w:eastAsiaTheme="minorEastAsia"/>
          <w:color w:val="000000"/>
          <w:kern w:val="0"/>
          <w:sz w:val="32"/>
          <w:szCs w:val="32"/>
          <w:u w:val="single" w:color="000000"/>
        </w:rPr>
        <w:t>233.86</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万元。与年初预算</w:t>
      </w:r>
      <w:r>
        <w:rPr>
          <w:rFonts w:hint="eastAsia" w:asciiTheme="minorEastAsia" w:hAnsiTheme="minorEastAsia" w:eastAsiaTheme="minorEastAsia" w:cstheme="minorEastAsia"/>
          <w:color w:val="000000"/>
          <w:kern w:val="0"/>
          <w:sz w:val="32"/>
          <w:szCs w:val="32"/>
          <w:u w:val="single" w:color="000000"/>
        </w:rPr>
        <w:t xml:space="preserve"> </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default" w:ascii="Times New Roman" w:hAnsi="Times New Roman" w:cs="Times New Roman" w:eastAsiaTheme="minorEastAsia"/>
          <w:color w:val="000000"/>
          <w:kern w:val="0"/>
          <w:sz w:val="32"/>
          <w:szCs w:val="32"/>
          <w:u w:val="single" w:color="000000"/>
        </w:rPr>
        <w:t>276.7</w:t>
      </w:r>
      <w:r>
        <w:rPr>
          <w:rFonts w:hint="eastAsia" w:ascii="Times New Roman" w:hAnsi="Times New Roman" w:eastAsia="仿宋_GB2312" w:cs="fang_song_gb2312"/>
          <w:kern w:val="0"/>
          <w:sz w:val="32"/>
          <w:szCs w:val="32"/>
          <w:lang w:val="en-US" w:eastAsia="zh-CN"/>
        </w:rPr>
        <w:t>万元相比，完成年初预算的</w:t>
      </w:r>
      <w:r>
        <w:rPr>
          <w:rFonts w:hint="eastAsia" w:asciiTheme="minorEastAsia" w:hAnsiTheme="minorEastAsia" w:eastAsiaTheme="minorEastAsia" w:cstheme="minorEastAsia"/>
          <w:color w:val="000000"/>
          <w:kern w:val="0"/>
          <w:sz w:val="32"/>
          <w:szCs w:val="32"/>
          <w:u w:val="single" w:color="000000"/>
        </w:rPr>
        <w:t xml:space="preserve"> </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default" w:ascii="Times New Roman" w:hAnsi="Times New Roman" w:cs="Times New Roman" w:eastAsiaTheme="minorEastAsia"/>
          <w:color w:val="000000"/>
          <w:kern w:val="0"/>
          <w:sz w:val="32"/>
          <w:szCs w:val="32"/>
          <w:u w:val="single" w:color="000000"/>
        </w:rPr>
        <w:t>84.5</w:t>
      </w:r>
      <w:r>
        <w:rPr>
          <w:rFonts w:hint="default" w:ascii="Times New Roman" w:hAnsi="Times New Roman" w:cs="Times New Roman" w:eastAsiaTheme="minorEastAsia"/>
          <w:color w:val="000000"/>
          <w:kern w:val="0"/>
          <w:sz w:val="32"/>
          <w:szCs w:val="32"/>
          <w:u w:val="single" w:color="000000"/>
          <w:lang w:val="en-US" w:eastAsia="zh-CN"/>
        </w:rPr>
        <w:t>1</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default" w:ascii="Times New Roman" w:hAnsi="Times New Roman" w:cs="Times New Roman" w:eastAsiaTheme="minorEastAsia"/>
          <w:color w:val="000000"/>
          <w:kern w:val="0"/>
          <w:sz w:val="32"/>
          <w:szCs w:val="32"/>
        </w:rPr>
        <w:t>%</w:t>
      </w:r>
      <w:r>
        <w:rPr>
          <w:rFonts w:hint="eastAsia" w:asciiTheme="minorEastAsia" w:hAnsiTheme="minorEastAsia" w:eastAsiaTheme="minorEastAsia" w:cstheme="minorEastAsia"/>
          <w:color w:val="000000"/>
          <w:kern w:val="0"/>
          <w:sz w:val="32"/>
          <w:szCs w:val="32"/>
        </w:rPr>
        <w:t>。</w:t>
      </w:r>
      <w:r>
        <w:rPr>
          <w:rFonts w:hint="eastAsia" w:ascii="Times New Roman" w:hAnsi="Times New Roman" w:eastAsia="仿宋_GB2312" w:cs="fang_song_gb2312"/>
          <w:kern w:val="0"/>
          <w:sz w:val="32"/>
          <w:szCs w:val="32"/>
          <w:lang w:val="en-US" w:eastAsia="zh-CN"/>
        </w:rPr>
        <w:t>其中：</w:t>
      </w:r>
    </w:p>
    <w:p w14:paraId="275F23CF">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color w:val="000000"/>
          <w:kern w:val="0"/>
          <w:sz w:val="32"/>
          <w:szCs w:val="32"/>
        </w:rPr>
        <w:t>（一）一般公共服务（类）</w:t>
      </w:r>
    </w:p>
    <w:p w14:paraId="719DFFEE">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heme="minorEastAsia" w:hAnsiTheme="minorEastAsia" w:eastAsiaTheme="minorEastAsia" w:cstheme="minorEastAsia"/>
          <w:color w:val="000000"/>
          <w:kern w:val="0"/>
          <w:sz w:val="32"/>
          <w:szCs w:val="32"/>
        </w:rPr>
      </w:pPr>
      <w:r>
        <w:rPr>
          <w:rFonts w:hint="eastAsia" w:ascii="Times New Roman" w:hAnsi="Times New Roman" w:eastAsia="仿宋_GB2312" w:cs="fang_song_gb2312"/>
          <w:kern w:val="0"/>
          <w:sz w:val="32"/>
          <w:szCs w:val="32"/>
          <w:lang w:val="en-US" w:eastAsia="zh-CN"/>
        </w:rPr>
        <w:t>一般公共服务（类）决算数为</w:t>
      </w:r>
      <w:r>
        <w:rPr>
          <w:rFonts w:hint="default" w:ascii="Times New Roman" w:hAnsi="Times New Roman" w:cs="Times New Roman" w:eastAsiaTheme="minorEastAsia"/>
          <w:color w:val="000000"/>
          <w:kern w:val="0"/>
          <w:sz w:val="32"/>
          <w:szCs w:val="32"/>
          <w:u w:val="single" w:color="000000"/>
        </w:rPr>
        <w:t> </w:t>
      </w:r>
      <w:r>
        <w:rPr>
          <w:rFonts w:hint="eastAsia" w:ascii="Times New Roman" w:hAnsi="Times New Roman" w:cs="Times New Roman" w:eastAsiaTheme="minorEastAsia"/>
          <w:color w:val="000000"/>
          <w:kern w:val="0"/>
          <w:sz w:val="32"/>
          <w:szCs w:val="32"/>
          <w:u w:val="single" w:color="000000"/>
          <w:lang w:val="en-US" w:eastAsia="zh-CN"/>
        </w:rPr>
        <w:t xml:space="preserve"> </w:t>
      </w:r>
      <w:r>
        <w:rPr>
          <w:rFonts w:hint="default" w:ascii="Times New Roman" w:hAnsi="Times New Roman" w:cs="Times New Roman" w:eastAsiaTheme="minorEastAsia"/>
          <w:color w:val="000000"/>
          <w:kern w:val="0"/>
          <w:sz w:val="32"/>
          <w:szCs w:val="32"/>
          <w:u w:val="single" w:color="000000"/>
        </w:rPr>
        <w:t>177.17</w:t>
      </w:r>
      <w:r>
        <w:rPr>
          <w:rFonts w:hint="default" w:ascii="Times New Roman" w:hAnsi="Times New Roman" w:cs="Times New Roman" w:eastAsia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万元，与年初预算相比减少</w:t>
      </w:r>
      <w:r>
        <w:rPr>
          <w:rFonts w:hint="default" w:ascii="Times New Roman" w:hAnsi="Times New Roman" w:eastAsia="仿宋_GB2312" w:cs="Times New Roman"/>
          <w:kern w:val="0"/>
          <w:sz w:val="32"/>
          <w:szCs w:val="32"/>
          <w:u w:val="single"/>
          <w:lang w:val="en-US" w:eastAsia="zh-CN"/>
        </w:rPr>
        <w:t xml:space="preserve">  21.82</w:t>
      </w:r>
      <w:r>
        <w:rPr>
          <w:rFonts w:hint="eastAsia"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万元。其中：</w:t>
      </w:r>
    </w:p>
    <w:p w14:paraId="62B01AE5">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default" w:asciiTheme="minorEastAsia" w:hAnsiTheme="minorEastAsia" w:eastAsiaTheme="minorEastAsia" w:cstheme="minorEastAsia"/>
          <w:kern w:val="0"/>
          <w:sz w:val="32"/>
          <w:szCs w:val="32"/>
          <w:highlight w:val="none"/>
          <w:lang w:val="en-US"/>
        </w:rPr>
      </w:pPr>
      <w:r>
        <w:rPr>
          <w:rFonts w:hint="eastAsia" w:ascii="Times New Roman" w:hAnsi="Times New Roman" w:eastAsia="仿宋_GB2312" w:cs="fang_song_gb2312"/>
          <w:kern w:val="0"/>
          <w:sz w:val="32"/>
          <w:szCs w:val="32"/>
          <w:lang w:val="en-US" w:eastAsia="zh-CN"/>
        </w:rPr>
        <w:t>政府办公厅（室）及相关机构事务（款）事业运行（项）。年初预算</w:t>
      </w:r>
      <w:r>
        <w:rPr>
          <w:rFonts w:hint="eastAsia" w:asciiTheme="minorEastAsia" w:hAnsiTheme="minorEastAsia" w:eastAsiaTheme="minorEastAsia" w:cstheme="minorEastAsia"/>
          <w:color w:val="000000"/>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lang w:val="en-US" w:eastAsia="zh-CN"/>
        </w:rPr>
        <w:t>198.99</w:t>
      </w:r>
      <w:r>
        <w:rPr>
          <w:rFonts w:hint="eastAsia" w:ascii="Times New Roman" w:hAnsi="Times New Roman" w:cs="Times New Roman" w:eastAsiaTheme="minorEastAsia"/>
          <w:color w:val="000000"/>
          <w:kern w:val="0"/>
          <w:sz w:val="32"/>
          <w:szCs w:val="32"/>
          <w:highlight w:val="none"/>
          <w:u w:val="single"/>
          <w:lang w:val="en-US" w:eastAsia="zh-CN"/>
        </w:rPr>
        <w:t xml:space="preserve"> </w:t>
      </w:r>
      <w:r>
        <w:rPr>
          <w:rFonts w:hint="eastAsia" w:ascii="Times New Roman" w:hAnsi="Times New Roman" w:eastAsia="仿宋_GB2312" w:cs="fang_song_gb2312"/>
          <w:kern w:val="0"/>
          <w:sz w:val="32"/>
          <w:szCs w:val="32"/>
          <w:lang w:val="en-US" w:eastAsia="zh-CN"/>
        </w:rPr>
        <w:t>万元，支出决算</w:t>
      </w:r>
      <w:r>
        <w:rPr>
          <w:rFonts w:hint="eastAsia" w:eastAsia="仿宋_GB2312" w:cs="fang_song_gb2312"/>
          <w:kern w:val="0"/>
          <w:sz w:val="32"/>
          <w:szCs w:val="32"/>
          <w:u w:val="single"/>
          <w:lang w:val="en-US" w:eastAsia="zh-CN"/>
        </w:rPr>
        <w:t xml:space="preserve"> </w:t>
      </w:r>
      <w:r>
        <w:rPr>
          <w:rFonts w:hint="eastAsia" w:asciiTheme="minorEastAsia" w:hAnsiTheme="minorEastAsia" w:eastAsiaTheme="minorEastAsia" w:cstheme="minorEastAsia"/>
          <w:color w:val="000000"/>
          <w:kern w:val="0"/>
          <w:sz w:val="32"/>
          <w:szCs w:val="32"/>
          <w:u w:val="single"/>
          <w:lang w:val="en-US" w:eastAsia="zh-CN"/>
        </w:rPr>
        <w:t xml:space="preserve">177.17 </w:t>
      </w:r>
      <w:r>
        <w:rPr>
          <w:rFonts w:hint="eastAsia" w:ascii="Times New Roman" w:hAnsi="Times New Roman" w:eastAsia="仿宋_GB2312" w:cs="fang_song_gb2312"/>
          <w:kern w:val="0"/>
          <w:sz w:val="32"/>
          <w:szCs w:val="32"/>
          <w:lang w:val="en-US" w:eastAsia="zh-CN"/>
        </w:rPr>
        <w:t>万元，完成年初预算的</w:t>
      </w:r>
      <w:r>
        <w:rPr>
          <w:rFonts w:hint="eastAsia" w:asciiTheme="minorEastAsia" w:hAnsiTheme="minorEastAsia" w:eastAsiaTheme="minorEastAsia" w:cstheme="minorEastAsia"/>
          <w:color w:val="000000"/>
          <w:kern w:val="0"/>
          <w:sz w:val="32"/>
          <w:szCs w:val="32"/>
          <w:highlight w:val="none"/>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lang w:val="en-US" w:eastAsia="zh-CN"/>
        </w:rPr>
        <w:t xml:space="preserve">89.03 </w:t>
      </w:r>
      <w:r>
        <w:rPr>
          <w:rFonts w:hint="default" w:ascii="Times New Roman" w:hAnsi="Times New Roman" w:cs="Times New Roman" w:eastAsiaTheme="minorEastAsia"/>
          <w:color w:val="000000"/>
          <w:kern w:val="0"/>
          <w:sz w:val="32"/>
          <w:szCs w:val="32"/>
          <w:lang w:val="en-US" w:eastAsia="zh-CN"/>
        </w:rPr>
        <w:t>%</w:t>
      </w:r>
      <w:r>
        <w:rPr>
          <w:rFonts w:hint="eastAsia" w:asciiTheme="minorEastAsia" w:hAnsiTheme="minorEastAsia" w:eastAsiaTheme="minorEastAsia" w:cstheme="minorEastAsia"/>
          <w:color w:val="000000"/>
          <w:kern w:val="0"/>
          <w:sz w:val="32"/>
          <w:szCs w:val="32"/>
          <w:lang w:val="en-US" w:eastAsia="zh-CN"/>
        </w:rPr>
        <w:t>。</w:t>
      </w:r>
      <w:r>
        <w:rPr>
          <w:rFonts w:hint="eastAsia" w:ascii="Times New Roman" w:hAnsi="Times New Roman" w:eastAsia="仿宋_GB2312" w:cs="fang_song_gb2312"/>
          <w:kern w:val="0"/>
          <w:sz w:val="32"/>
          <w:szCs w:val="32"/>
          <w:lang w:val="en-US" w:eastAsia="zh-CN"/>
        </w:rPr>
        <w:t>决算数与年初预算数的差异</w:t>
      </w:r>
      <w:r>
        <w:rPr>
          <w:rFonts w:hint="eastAsia" w:ascii="Times New Roman" w:hAnsi="Times New Roman" w:eastAsia="仿宋_GB2312" w:cs="fang_song_gb2312"/>
          <w:kern w:val="0"/>
          <w:sz w:val="32"/>
          <w:szCs w:val="32"/>
          <w:highlight w:val="none"/>
          <w:lang w:val="en-US" w:eastAsia="zh-CN"/>
        </w:rPr>
        <w:t>原因</w:t>
      </w:r>
      <w:r>
        <w:rPr>
          <w:rFonts w:hint="eastAsia" w:asciiTheme="minorEastAsia" w:hAnsiTheme="minorEastAsia" w:eastAsiaTheme="minorEastAsia" w:cstheme="minorEastAsia"/>
          <w:color w:val="000000"/>
          <w:kern w:val="0"/>
          <w:sz w:val="32"/>
          <w:szCs w:val="32"/>
          <w:highlight w:val="none"/>
          <w:lang w:val="en-US" w:eastAsia="zh-CN"/>
        </w:rPr>
        <w:t>：</w:t>
      </w:r>
      <w:r>
        <w:rPr>
          <w:rFonts w:hint="eastAsia" w:ascii="Times New Roman" w:hAnsi="Times New Roman" w:eastAsia="仿宋_GB2312" w:cs="fang_song_gb2312"/>
          <w:kern w:val="0"/>
          <w:sz w:val="32"/>
          <w:szCs w:val="32"/>
          <w:highlight w:val="none"/>
          <w:lang w:val="en-US" w:eastAsia="zh-CN"/>
        </w:rPr>
        <w:t>人员变动、工资调整。</w:t>
      </w:r>
    </w:p>
    <w:p w14:paraId="5E0D30E2">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color w:val="000000"/>
          <w:kern w:val="0"/>
          <w:sz w:val="32"/>
          <w:szCs w:val="32"/>
        </w:rPr>
        <w:t>（</w:t>
      </w:r>
      <w:r>
        <w:rPr>
          <w:rFonts w:hint="eastAsia" w:asciiTheme="minorEastAsia" w:hAnsiTheme="minorEastAsia" w:eastAsiaTheme="minorEastAsia" w:cstheme="minorEastAsia"/>
          <w:b/>
          <w:bCs/>
          <w:color w:val="000000"/>
          <w:kern w:val="0"/>
          <w:sz w:val="32"/>
          <w:szCs w:val="32"/>
          <w:lang w:val="en-US" w:eastAsia="zh-CN"/>
        </w:rPr>
        <w:t>二</w:t>
      </w:r>
      <w:r>
        <w:rPr>
          <w:rFonts w:hint="eastAsia" w:asciiTheme="minorEastAsia" w:hAnsiTheme="minorEastAsia" w:eastAsiaTheme="minorEastAsia" w:cstheme="minorEastAsia"/>
          <w:b/>
          <w:bCs/>
          <w:color w:val="000000"/>
          <w:kern w:val="0"/>
          <w:sz w:val="32"/>
          <w:szCs w:val="32"/>
        </w:rPr>
        <w:t>）社会保障和就业支出（类）</w:t>
      </w:r>
    </w:p>
    <w:p w14:paraId="5324B9BE">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Theme="minorEastAsia" w:hAnsiTheme="minorEastAsia" w:eastAsiaTheme="minorEastAsia" w:cstheme="minorEastAsia"/>
          <w:kern w:val="0"/>
          <w:sz w:val="32"/>
          <w:szCs w:val="32"/>
        </w:rPr>
      </w:pPr>
      <w:r>
        <w:rPr>
          <w:rFonts w:hint="eastAsia" w:ascii="Times New Roman" w:hAnsi="Times New Roman" w:eastAsia="仿宋_GB2312" w:cs="fang_song_gb2312"/>
          <w:kern w:val="0"/>
          <w:sz w:val="32"/>
          <w:szCs w:val="32"/>
          <w:lang w:val="en-US" w:eastAsia="zh-CN"/>
        </w:rPr>
        <w:t>社会保障和就业支出（类）决算数为</w:t>
      </w:r>
      <w:r>
        <w:rPr>
          <w:rFonts w:hint="eastAsia" w:asciiTheme="minorEastAsia" w:hAnsiTheme="minorEastAsia" w:eastAsiaTheme="minorEastAsia" w:cstheme="minorEastAsia"/>
          <w:color w:val="000000"/>
          <w:kern w:val="0"/>
          <w:sz w:val="32"/>
          <w:szCs w:val="32"/>
          <w:u w:val="single" w:color="000000"/>
        </w:rPr>
        <w:t> </w:t>
      </w:r>
      <w:r>
        <w:rPr>
          <w:rFonts w:hint="default" w:ascii="Times New Roman" w:hAnsi="Times New Roman" w:cs="Times New Roman" w:eastAsiaTheme="minorEastAsia"/>
          <w:color w:val="000000"/>
          <w:kern w:val="0"/>
          <w:sz w:val="32"/>
          <w:szCs w:val="32"/>
          <w:u w:val="single" w:color="000000"/>
        </w:rPr>
        <w:t>28.31</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万元，与年初预算相比减少</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u w:val="single" w:color="auto"/>
        </w:rPr>
        <w:t>16.79</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eastAsia" w:asciiTheme="minorEastAsia" w:hAnsiTheme="minorEastAsia" w:eastAsiaTheme="minorEastAsia" w:cstheme="minorEastAsia"/>
          <w:color w:val="000000"/>
          <w:kern w:val="0"/>
          <w:sz w:val="32"/>
          <w:szCs w:val="32"/>
        </w:rPr>
        <w:t>万元。</w:t>
      </w:r>
      <w:r>
        <w:rPr>
          <w:rFonts w:hint="eastAsia" w:ascii="Times New Roman" w:hAnsi="Times New Roman" w:eastAsia="仿宋_GB2312" w:cs="fang_song_gb2312"/>
          <w:kern w:val="0"/>
          <w:sz w:val="32"/>
          <w:szCs w:val="32"/>
          <w:lang w:val="en-US" w:eastAsia="zh-CN"/>
        </w:rPr>
        <w:t>其中</w:t>
      </w:r>
      <w:r>
        <w:rPr>
          <w:rFonts w:hint="eastAsia" w:asciiTheme="minorEastAsia" w:hAnsiTheme="minorEastAsia" w:eastAsiaTheme="minorEastAsia" w:cstheme="minorEastAsia"/>
          <w:color w:val="000000"/>
          <w:kern w:val="0"/>
          <w:sz w:val="32"/>
          <w:szCs w:val="32"/>
        </w:rPr>
        <w:t>：</w:t>
      </w:r>
    </w:p>
    <w:p w14:paraId="15633AB5">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Times New Roman" w:hAnsi="Times New Roman" w:eastAsia="仿宋_GB2312" w:cs="fang_song_gb2312"/>
          <w:kern w:val="0"/>
          <w:sz w:val="32"/>
          <w:szCs w:val="32"/>
          <w:lang w:val="en-US" w:eastAsia="zh-CN"/>
        </w:rPr>
      </w:pPr>
      <w:r>
        <w:rPr>
          <w:rFonts w:hint="default" w:ascii="Times New Roman" w:hAnsi="Times New Roman" w:cs="Times New Roman" w:eastAsiaTheme="minorEastAsia"/>
          <w:color w:val="000000"/>
          <w:kern w:val="0"/>
          <w:sz w:val="32"/>
          <w:szCs w:val="32"/>
          <w:lang w:val="en-US" w:eastAsia="zh-CN"/>
        </w:rPr>
        <w:t>1</w:t>
      </w:r>
      <w:r>
        <w:rPr>
          <w:rFonts w:hint="default" w:ascii="Times New Roman" w:hAnsi="Times New Roman" w:cs="Times New Roman" w:eastAsiaTheme="minorEastAsia"/>
          <w:color w:val="000000"/>
          <w:kern w:val="0"/>
          <w:sz w:val="32"/>
          <w:szCs w:val="32"/>
        </w:rPr>
        <w:t>．</w:t>
      </w:r>
      <w:r>
        <w:rPr>
          <w:rFonts w:hint="eastAsia" w:ascii="Times New Roman" w:hAnsi="Times New Roman" w:eastAsia="仿宋_GB2312" w:cs="fang_song_gb2312"/>
          <w:kern w:val="0"/>
          <w:sz w:val="32"/>
          <w:szCs w:val="32"/>
          <w:lang w:val="en-US" w:eastAsia="zh-CN"/>
        </w:rPr>
        <w:t>行政事业单位养老支出（款）机关事业单位基本养老保险缴费支出（项）。年初预算</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highlight w:val="none"/>
          <w:u w:val="single" w:color="auto"/>
          <w:lang w:val="en-US" w:eastAsia="zh-CN"/>
        </w:rPr>
        <w:t>28.21</w:t>
      </w:r>
      <w:r>
        <w:rPr>
          <w:rFonts w:hint="eastAsia" w:ascii="Times New Roman" w:hAnsi="Times New Roman" w:cs="Times New Roman" w:eastAsiaTheme="minorEastAsia"/>
          <w:color w:val="000000"/>
          <w:kern w:val="0"/>
          <w:sz w:val="32"/>
          <w:szCs w:val="32"/>
          <w:highlight w:val="none"/>
          <w:u w:val="single" w:color="auto"/>
          <w:lang w:val="en-US" w:eastAsia="zh-CN"/>
        </w:rPr>
        <w:t xml:space="preserve"> </w:t>
      </w:r>
      <w:r>
        <w:rPr>
          <w:rFonts w:hint="eastAsia" w:ascii="Times New Roman" w:hAnsi="Times New Roman" w:eastAsia="仿宋_GB2312" w:cs="fang_song_gb2312"/>
          <w:kern w:val="0"/>
          <w:sz w:val="32"/>
          <w:szCs w:val="32"/>
          <w:lang w:val="en-US" w:eastAsia="zh-CN"/>
        </w:rPr>
        <w:t>万元，支出决算</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u w:val="single" w:color="auto"/>
          <w:lang w:val="en-US" w:eastAsia="zh-CN"/>
        </w:rPr>
        <w:t>26.50</w:t>
      </w:r>
      <w:r>
        <w:rPr>
          <w:rFonts w:hint="eastAsia" w:ascii="Times New Roman" w:hAnsi="Times New Roman" w:cs="Times New Roman" w:eastAsiaTheme="minorEastAsia"/>
          <w:color w:val="000000"/>
          <w:kern w:val="0"/>
          <w:sz w:val="32"/>
          <w:szCs w:val="32"/>
          <w:u w:val="single" w:color="auto"/>
          <w:lang w:val="en-US" w:eastAsia="zh-CN"/>
        </w:rPr>
        <w:t xml:space="preserve"> </w:t>
      </w:r>
      <w:r>
        <w:rPr>
          <w:rFonts w:hint="eastAsia" w:ascii="Times New Roman" w:hAnsi="Times New Roman" w:eastAsia="仿宋_GB2312" w:cs="fang_song_gb2312"/>
          <w:kern w:val="0"/>
          <w:sz w:val="32"/>
          <w:szCs w:val="32"/>
          <w:lang w:val="en-US" w:eastAsia="zh-CN"/>
        </w:rPr>
        <w:t>万元，完成年初预算的</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highlight w:val="none"/>
          <w:u w:val="single" w:color="auto"/>
          <w:lang w:val="en-US" w:eastAsia="zh-CN"/>
        </w:rPr>
        <w:t>93.94</w:t>
      </w:r>
      <w:r>
        <w:rPr>
          <w:rFonts w:hint="eastAsia" w:ascii="Times New Roman" w:hAnsi="Times New Roman" w:cs="Times New Roman" w:eastAsiaTheme="minorEastAsia"/>
          <w:color w:val="000000"/>
          <w:kern w:val="0"/>
          <w:sz w:val="32"/>
          <w:szCs w:val="32"/>
          <w:highlight w:val="none"/>
          <w:u w:val="single" w:color="auto"/>
          <w:lang w:val="en-US" w:eastAsia="zh-CN"/>
        </w:rPr>
        <w:t xml:space="preserve"> </w:t>
      </w:r>
      <w:r>
        <w:rPr>
          <w:rFonts w:hint="eastAsia" w:asciiTheme="minorEastAsia" w:hAnsiTheme="minorEastAsia" w:eastAsiaTheme="minorEastAsia" w:cstheme="minorEastAsia"/>
          <w:color w:val="000000"/>
          <w:kern w:val="0"/>
          <w:sz w:val="32"/>
          <w:szCs w:val="32"/>
          <w:highlight w:val="none"/>
          <w:u w:val="single" w:color="auto"/>
          <w:lang w:val="en-US" w:eastAsia="zh-CN"/>
        </w:rPr>
        <w:t xml:space="preserve"> </w:t>
      </w:r>
      <w:r>
        <w:rPr>
          <w:rFonts w:hint="eastAsia" w:ascii="Times New Roman" w:hAnsi="Times New Roman" w:eastAsia="仿宋_GB2312" w:cs="fang_song_gb2312"/>
          <w:kern w:val="0"/>
          <w:sz w:val="32"/>
          <w:szCs w:val="32"/>
          <w:lang w:val="en-US" w:eastAsia="zh-CN"/>
        </w:rPr>
        <w:t>。决算数与年初预算数的差异原因：人员变动、工资调整。</w:t>
      </w:r>
    </w:p>
    <w:p w14:paraId="188D6C49">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Times New Roman" w:hAnsi="Times New Roman" w:eastAsia="仿宋_GB2312" w:cs="fang_song_gb2312"/>
          <w:kern w:val="0"/>
          <w:sz w:val="32"/>
          <w:szCs w:val="32"/>
          <w:lang w:val="en-US" w:eastAsia="zh-CN"/>
        </w:rPr>
      </w:pPr>
      <w:r>
        <w:rPr>
          <w:rFonts w:hint="default" w:ascii="Times New Roman" w:hAnsi="Times New Roman" w:cs="Times New Roman" w:eastAsiaTheme="minorEastAsia"/>
          <w:color w:val="000000"/>
          <w:kern w:val="0"/>
          <w:sz w:val="32"/>
          <w:szCs w:val="32"/>
          <w:lang w:val="en-US" w:eastAsia="zh-CN"/>
        </w:rPr>
        <w:t>2</w:t>
      </w:r>
      <w:r>
        <w:rPr>
          <w:rFonts w:hint="default" w:ascii="Times New Roman" w:hAnsi="Times New Roman" w:cs="Times New Roman" w:eastAsiaTheme="minorEastAsia"/>
          <w:color w:val="000000"/>
          <w:kern w:val="0"/>
          <w:sz w:val="32"/>
          <w:szCs w:val="32"/>
        </w:rPr>
        <w:t>．</w:t>
      </w:r>
      <w:r>
        <w:rPr>
          <w:rFonts w:hint="eastAsia" w:ascii="Times New Roman" w:hAnsi="Times New Roman" w:eastAsia="仿宋_GB2312" w:cs="fang_song_gb2312"/>
          <w:kern w:val="0"/>
          <w:sz w:val="32"/>
          <w:szCs w:val="32"/>
          <w:lang w:val="en-US" w:eastAsia="zh-CN"/>
        </w:rPr>
        <w:t>行政事业单位养老支出（款）机关事业单位职业年金缴费支出（项）。年初预算</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15.6</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万元，支出决算</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lang w:val="en-US" w:eastAsia="zh-CN"/>
        </w:rPr>
        <w:t>1.04</w:t>
      </w:r>
      <w:r>
        <w:rPr>
          <w:rFonts w:hint="eastAsia" w:ascii="Times New Roman" w:hAnsi="Times New Roman" w:cs="Times New Roman" w:eastAsiaTheme="minorEastAsia"/>
          <w:color w:val="000000"/>
          <w:kern w:val="0"/>
          <w:sz w:val="32"/>
          <w:szCs w:val="32"/>
          <w:highlight w:val="none"/>
          <w:u w:val="single"/>
          <w:lang w:val="en-US" w:eastAsia="zh-CN"/>
        </w:rPr>
        <w:t xml:space="preserve"> </w:t>
      </w:r>
      <w:r>
        <w:rPr>
          <w:rFonts w:hint="eastAsia" w:ascii="Times New Roman" w:hAnsi="Times New Roman" w:eastAsia="仿宋_GB2312" w:cs="fang_song_gb2312"/>
          <w:kern w:val="0"/>
          <w:sz w:val="32"/>
          <w:szCs w:val="32"/>
          <w:lang w:val="en-US" w:eastAsia="zh-CN"/>
        </w:rPr>
        <w:t>万元，完成年初预算的</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color="000000"/>
          <w:lang w:val="en-US" w:eastAsia="zh-CN"/>
        </w:rPr>
        <w:t>6.67</w:t>
      </w:r>
      <w:r>
        <w:rPr>
          <w:rFonts w:hint="eastAsia" w:ascii="Times New Roman" w:hAnsi="Times New Roman" w:cs="Times New Roman" w:eastAsiaTheme="minorEastAsia"/>
          <w:color w:val="000000"/>
          <w:kern w:val="0"/>
          <w:sz w:val="32"/>
          <w:szCs w:val="32"/>
          <w:highlight w:val="none"/>
          <w:u w:val="single" w:color="000000"/>
          <w:lang w:val="en-US" w:eastAsia="zh-CN"/>
        </w:rPr>
        <w:t xml:space="preserve">  </w:t>
      </w:r>
      <w:r>
        <w:rPr>
          <w:rFonts w:hint="eastAsia" w:asciiTheme="minorEastAsia" w:hAnsiTheme="minorEastAsia" w:eastAsiaTheme="minorEastAsia" w:cstheme="minorEastAsia"/>
          <w:color w:val="000000"/>
          <w:kern w:val="0"/>
          <w:sz w:val="32"/>
          <w:szCs w:val="32"/>
        </w:rPr>
        <w:t>%。</w:t>
      </w:r>
      <w:r>
        <w:rPr>
          <w:rFonts w:hint="eastAsia" w:ascii="Times New Roman" w:hAnsi="Times New Roman" w:eastAsia="仿宋_GB2312" w:cs="fang_song_gb2312"/>
          <w:kern w:val="0"/>
          <w:sz w:val="32"/>
          <w:szCs w:val="32"/>
          <w:lang w:val="en-US" w:eastAsia="zh-CN"/>
        </w:rPr>
        <w:t>决算数与年初预算数的差异原因：人员变动、工资调整。</w:t>
      </w:r>
    </w:p>
    <w:p w14:paraId="15CB245E">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Times New Roman" w:hAnsi="Times New Roman" w:eastAsia="仿宋_GB2312" w:cs="fang_song_gb2312"/>
          <w:kern w:val="0"/>
          <w:sz w:val="32"/>
          <w:szCs w:val="32"/>
          <w:lang w:val="en-US" w:eastAsia="zh-CN"/>
        </w:rPr>
      </w:pPr>
      <w:r>
        <w:rPr>
          <w:rFonts w:hint="default" w:ascii="Times New Roman" w:hAnsi="Times New Roman" w:cs="Times New Roman" w:eastAsiaTheme="minorEastAsia"/>
          <w:color w:val="000000"/>
          <w:kern w:val="0"/>
          <w:sz w:val="32"/>
          <w:szCs w:val="32"/>
          <w:lang w:val="en-US" w:eastAsia="zh-CN"/>
        </w:rPr>
        <w:t>3</w:t>
      </w:r>
      <w:r>
        <w:rPr>
          <w:rFonts w:hint="default" w:ascii="Times New Roman" w:hAnsi="Times New Roman" w:cs="Times New Roman" w:eastAsiaTheme="minorEastAsia"/>
          <w:color w:val="000000"/>
          <w:kern w:val="0"/>
          <w:sz w:val="32"/>
          <w:szCs w:val="32"/>
        </w:rPr>
        <w:t>．</w:t>
      </w:r>
      <w:r>
        <w:rPr>
          <w:rFonts w:hint="eastAsia" w:ascii="Times New Roman" w:hAnsi="Times New Roman" w:eastAsia="仿宋_GB2312" w:cs="fang_song_gb2312"/>
          <w:kern w:val="0"/>
          <w:sz w:val="32"/>
          <w:szCs w:val="32"/>
          <w:lang w:val="en-US" w:eastAsia="zh-CN"/>
        </w:rPr>
        <w:t>其他社会保险和就业支出（款）其他社会保险和就业支出（项）。年初预算</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color="000000"/>
          <w:lang w:val="en-US" w:eastAsia="zh-CN"/>
        </w:rPr>
        <w:t>1.29</w:t>
      </w:r>
      <w:r>
        <w:rPr>
          <w:rFonts w:hint="eastAsia" w:ascii="Times New Roman" w:hAnsi="Times New Roman" w:cs="Times New Roman" w:eastAsiaTheme="minorEastAsia"/>
          <w:color w:val="000000"/>
          <w:kern w:val="0"/>
          <w:sz w:val="32"/>
          <w:szCs w:val="32"/>
          <w:highlight w:val="none"/>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万元，支出决算</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lang w:val="en-US" w:eastAsia="zh-CN"/>
        </w:rPr>
        <w:t>0.76</w:t>
      </w:r>
      <w:r>
        <w:rPr>
          <w:rFonts w:hint="eastAsia" w:ascii="Times New Roman" w:hAnsi="Times New Roman" w:cs="Times New Roman" w:eastAsiaTheme="minorEastAsia"/>
          <w:color w:val="000000"/>
          <w:kern w:val="0"/>
          <w:sz w:val="32"/>
          <w:szCs w:val="32"/>
          <w:highlight w:val="none"/>
          <w:u w:val="single"/>
          <w:lang w:val="en-US" w:eastAsia="zh-CN"/>
        </w:rPr>
        <w:t xml:space="preserve"> </w:t>
      </w:r>
      <w:r>
        <w:rPr>
          <w:rFonts w:hint="eastAsia" w:ascii="Times New Roman" w:hAnsi="Times New Roman" w:eastAsia="仿宋_GB2312" w:cs="fang_song_gb2312"/>
          <w:kern w:val="0"/>
          <w:sz w:val="32"/>
          <w:szCs w:val="32"/>
          <w:lang w:val="en-US" w:eastAsia="zh-CN"/>
        </w:rPr>
        <w:t>万元，完成年初预算的</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color="000000"/>
          <w:lang w:val="en-US" w:eastAsia="zh-CN"/>
        </w:rPr>
        <w:t>58.91</w:t>
      </w:r>
      <w:r>
        <w:rPr>
          <w:rFonts w:hint="eastAsia" w:ascii="Times New Roman" w:hAnsi="Times New Roman" w:cs="Times New Roman" w:eastAsiaTheme="minorEastAsia"/>
          <w:color w:val="000000"/>
          <w:kern w:val="0"/>
          <w:sz w:val="32"/>
          <w:szCs w:val="32"/>
          <w:highlight w:val="none"/>
          <w:u w:val="single" w:color="000000"/>
          <w:lang w:val="en-US" w:eastAsia="zh-CN"/>
        </w:rPr>
        <w:t xml:space="preserve"> </w:t>
      </w:r>
      <w:r>
        <w:rPr>
          <w:rFonts w:hint="eastAsia" w:asciiTheme="minorEastAsia" w:hAnsiTheme="minorEastAsia" w:eastAsiaTheme="minorEastAsia" w:cstheme="minorEastAsia"/>
          <w:color w:val="000000"/>
          <w:kern w:val="0"/>
          <w:sz w:val="32"/>
          <w:szCs w:val="32"/>
        </w:rPr>
        <w:t>%</w:t>
      </w:r>
      <w:r>
        <w:rPr>
          <w:rFonts w:hint="eastAsia" w:ascii="Times New Roman" w:hAnsi="Times New Roman" w:eastAsia="仿宋_GB2312" w:cs="fang_song_gb2312"/>
          <w:kern w:val="0"/>
          <w:sz w:val="32"/>
          <w:szCs w:val="32"/>
          <w:lang w:val="en-US" w:eastAsia="zh-CN"/>
        </w:rPr>
        <w:t>。决算数与年初预算数的差异原因：人员变动、工资调整。</w:t>
      </w:r>
    </w:p>
    <w:p w14:paraId="5BA8B581">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color w:val="000000"/>
          <w:kern w:val="0"/>
          <w:sz w:val="32"/>
          <w:szCs w:val="32"/>
        </w:rPr>
        <w:t>（</w:t>
      </w:r>
      <w:r>
        <w:rPr>
          <w:rFonts w:hint="eastAsia" w:asciiTheme="minorEastAsia" w:hAnsiTheme="minorEastAsia" w:eastAsiaTheme="minorEastAsia" w:cstheme="minorEastAsia"/>
          <w:b/>
          <w:bCs/>
          <w:color w:val="000000"/>
          <w:kern w:val="0"/>
          <w:sz w:val="32"/>
          <w:szCs w:val="32"/>
          <w:lang w:val="en-US" w:eastAsia="zh-CN"/>
        </w:rPr>
        <w:t>三</w:t>
      </w:r>
      <w:r>
        <w:rPr>
          <w:rFonts w:hint="eastAsia" w:asciiTheme="minorEastAsia" w:hAnsiTheme="minorEastAsia" w:eastAsiaTheme="minorEastAsia" w:cstheme="minorEastAsia"/>
          <w:b/>
          <w:bCs/>
          <w:color w:val="000000"/>
          <w:kern w:val="0"/>
          <w:sz w:val="32"/>
          <w:szCs w:val="32"/>
        </w:rPr>
        <w:t>）卫生健康支出（类）</w:t>
      </w:r>
    </w:p>
    <w:p w14:paraId="2E43D063">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卫生健康支出（类）决算数为</w:t>
      </w:r>
      <w:r>
        <w:rPr>
          <w:rFonts w:hint="eastAsia" w:eastAsia="仿宋_GB2312" w:cs="fang_song_gb2312"/>
          <w:kern w:val="0"/>
          <w:sz w:val="32"/>
          <w:szCs w:val="32"/>
          <w:u w:val="single" w:color="auto"/>
          <w:lang w:val="en-US" w:eastAsia="zh-CN"/>
        </w:rPr>
        <w:t xml:space="preserve"> </w:t>
      </w:r>
      <w:r>
        <w:rPr>
          <w:rFonts w:hint="eastAsia" w:asciiTheme="minorEastAsia" w:hAnsiTheme="minorEastAsia" w:eastAsiaTheme="minorEastAsia" w:cstheme="minorEastAsia"/>
          <w:color w:val="000000"/>
          <w:kern w:val="0"/>
          <w:sz w:val="32"/>
          <w:szCs w:val="32"/>
          <w:u w:val="single" w:color="auto"/>
        </w:rPr>
        <w:t>1</w:t>
      </w:r>
      <w:r>
        <w:rPr>
          <w:rFonts w:hint="eastAsia" w:asciiTheme="minorEastAsia" w:hAnsiTheme="minorEastAsia" w:eastAsiaTheme="minorEastAsia" w:cstheme="minorEastAsia"/>
          <w:color w:val="000000"/>
          <w:kern w:val="0"/>
          <w:sz w:val="32"/>
          <w:szCs w:val="32"/>
          <w:u w:val="single" w:color="000000"/>
        </w:rPr>
        <w:t>1.82</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万元，与年初预算相比减少</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eastAsia" w:asciiTheme="minorEastAsia" w:hAnsiTheme="minorEastAsia" w:eastAsiaTheme="minorEastAsia" w:cstheme="minorEastAsia"/>
          <w:color w:val="000000"/>
          <w:kern w:val="0"/>
          <w:sz w:val="32"/>
          <w:szCs w:val="32"/>
          <w:u w:val="single" w:color="auto"/>
        </w:rPr>
        <w:t>3.1</w:t>
      </w:r>
      <w:r>
        <w:rPr>
          <w:rFonts w:hint="eastAsia" w:asciiTheme="minorEastAsia" w:hAnsiTheme="minorEastAsia" w:eastAsiaTheme="minorEastAsia" w:cstheme="minorEastAsia"/>
          <w:color w:val="000000"/>
          <w:kern w:val="0"/>
          <w:sz w:val="32"/>
          <w:szCs w:val="32"/>
          <w:u w:val="single" w:color="auto"/>
          <w:lang w:val="en-US" w:eastAsia="zh-CN"/>
        </w:rPr>
        <w:t xml:space="preserve">7 </w:t>
      </w:r>
      <w:r>
        <w:rPr>
          <w:rFonts w:hint="eastAsia" w:ascii="Times New Roman" w:hAnsi="Times New Roman" w:eastAsia="仿宋_GB2312" w:cs="fang_song_gb2312"/>
          <w:kern w:val="0"/>
          <w:sz w:val="32"/>
          <w:szCs w:val="32"/>
          <w:lang w:val="en-US" w:eastAsia="zh-CN"/>
        </w:rPr>
        <w:t>万元。其中：</w:t>
      </w:r>
    </w:p>
    <w:p w14:paraId="0B9B4207">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行政事业单位医疗（款）行政单位医疗（项）。年初预算</w:t>
      </w:r>
      <w:r>
        <w:rPr>
          <w:rFonts w:hint="eastAsia" w:asciiTheme="minorEastAsia" w:hAnsiTheme="minorEastAsia" w:eastAsiaTheme="minorEastAsia" w:cstheme="minorEastAsia"/>
          <w:color w:val="000000"/>
          <w:kern w:val="0"/>
          <w:sz w:val="32"/>
          <w:szCs w:val="32"/>
          <w:highlight w:val="none"/>
          <w:u w:val="single" w:color="000000"/>
          <w:lang w:val="en-US" w:eastAsia="zh-CN"/>
        </w:rPr>
        <w:t>14.99</w:t>
      </w:r>
      <w:r>
        <w:rPr>
          <w:rFonts w:hint="eastAsia" w:ascii="Times New Roman" w:hAnsi="Times New Roman" w:eastAsia="仿宋_GB2312" w:cs="fang_song_gb2312"/>
          <w:kern w:val="0"/>
          <w:sz w:val="32"/>
          <w:szCs w:val="32"/>
          <w:lang w:val="en-US" w:eastAsia="zh-CN"/>
        </w:rPr>
        <w:t>万元，支出决算</w:t>
      </w:r>
      <w:r>
        <w:rPr>
          <w:rFonts w:hint="eastAsia" w:asciiTheme="minorEastAsia" w:hAnsiTheme="minorEastAsia" w:eastAsiaTheme="minorEastAsia" w:cstheme="minorEastAsia"/>
          <w:color w:val="000000"/>
          <w:kern w:val="0"/>
          <w:sz w:val="32"/>
          <w:szCs w:val="32"/>
          <w:lang w:val="en-US" w:eastAsia="zh-CN"/>
        </w:rPr>
        <w:t xml:space="preserve"> </w:t>
      </w:r>
      <w:r>
        <w:rPr>
          <w:rFonts w:hint="eastAsia" w:asciiTheme="minorEastAsia" w:hAnsiTheme="minorEastAsia" w:eastAsiaTheme="minorEastAsia" w:cstheme="minorEastAsia"/>
          <w:color w:val="000000"/>
          <w:kern w:val="0"/>
          <w:sz w:val="32"/>
          <w:szCs w:val="32"/>
          <w:u w:val="single" w:color="auto"/>
          <w:lang w:val="en-US" w:eastAsia="zh-CN"/>
        </w:rPr>
        <w:t>11.8</w:t>
      </w:r>
      <w:r>
        <w:rPr>
          <w:rFonts w:hint="eastAsia" w:asciiTheme="minorEastAsia" w:hAnsiTheme="minorEastAsia" w:eastAsiaTheme="minorEastAsia" w:cstheme="minorEastAsia"/>
          <w:color w:val="000000"/>
          <w:kern w:val="0"/>
          <w:sz w:val="32"/>
          <w:szCs w:val="32"/>
          <w:u w:val="single" w:color="000000"/>
          <w:lang w:val="en-US" w:eastAsia="zh-CN"/>
        </w:rPr>
        <w:t>2</w:t>
      </w:r>
      <w:r>
        <w:rPr>
          <w:rFonts w:hint="eastAsia" w:ascii="Times New Roman" w:hAnsi="Times New Roman" w:eastAsia="仿宋_GB2312" w:cs="fang_song_gb2312"/>
          <w:kern w:val="0"/>
          <w:sz w:val="32"/>
          <w:szCs w:val="32"/>
          <w:lang w:val="en-US" w:eastAsia="zh-CN"/>
        </w:rPr>
        <w:t>万元，完成年初预算的</w:t>
      </w:r>
      <w:r>
        <w:rPr>
          <w:rFonts w:hint="eastAsia" w:asciiTheme="minorEastAsia" w:hAnsiTheme="minorEastAsia" w:eastAsiaTheme="minorEastAsia" w:cstheme="minorEastAsia"/>
          <w:color w:val="000000"/>
          <w:kern w:val="0"/>
          <w:sz w:val="32"/>
          <w:szCs w:val="32"/>
          <w:highlight w:val="none"/>
          <w:u w:val="single" w:color="000000"/>
          <w:lang w:val="en-US" w:eastAsia="zh-CN"/>
        </w:rPr>
        <w:t>78.85</w:t>
      </w:r>
      <w:r>
        <w:rPr>
          <w:rFonts w:hint="eastAsia" w:asciiTheme="minorEastAsia" w:hAnsiTheme="minorEastAsia" w:eastAsiaTheme="minorEastAsia" w:cstheme="minorEastAsia"/>
          <w:color w:val="000000"/>
          <w:kern w:val="0"/>
          <w:sz w:val="32"/>
          <w:szCs w:val="32"/>
          <w:highlight w:val="none"/>
        </w:rPr>
        <w:t>%</w:t>
      </w:r>
      <w:r>
        <w:rPr>
          <w:rFonts w:hint="eastAsia" w:asciiTheme="minorEastAsia" w:hAnsiTheme="minorEastAsia" w:eastAsiaTheme="minorEastAsia" w:cstheme="minorEastAsia"/>
          <w:color w:val="000000"/>
          <w:kern w:val="0"/>
          <w:sz w:val="32"/>
          <w:szCs w:val="32"/>
        </w:rPr>
        <w:t>。</w:t>
      </w:r>
      <w:r>
        <w:rPr>
          <w:rFonts w:hint="eastAsia" w:ascii="Times New Roman" w:hAnsi="Times New Roman" w:eastAsia="仿宋_GB2312" w:cs="fang_song_gb2312"/>
          <w:kern w:val="0"/>
          <w:sz w:val="32"/>
          <w:szCs w:val="32"/>
          <w:lang w:val="en-US" w:eastAsia="zh-CN"/>
        </w:rPr>
        <w:t>决算数与年初预算数的差异原因：人员变动、工资调整。</w:t>
      </w:r>
    </w:p>
    <w:p w14:paraId="44DE2AD6">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color w:val="000000"/>
          <w:kern w:val="0"/>
          <w:sz w:val="32"/>
          <w:szCs w:val="32"/>
        </w:rPr>
        <w:t>（</w:t>
      </w:r>
      <w:r>
        <w:rPr>
          <w:rFonts w:hint="eastAsia" w:asciiTheme="minorEastAsia" w:hAnsiTheme="minorEastAsia" w:eastAsiaTheme="minorEastAsia" w:cstheme="minorEastAsia"/>
          <w:b/>
          <w:bCs/>
          <w:color w:val="000000"/>
          <w:kern w:val="0"/>
          <w:sz w:val="32"/>
          <w:szCs w:val="32"/>
          <w:lang w:val="en-US" w:eastAsia="zh-CN"/>
        </w:rPr>
        <w:t>四</w:t>
      </w:r>
      <w:r>
        <w:rPr>
          <w:rFonts w:hint="eastAsia" w:asciiTheme="minorEastAsia" w:hAnsiTheme="minorEastAsia" w:eastAsiaTheme="minorEastAsia" w:cstheme="minorEastAsia"/>
          <w:b/>
          <w:bCs/>
          <w:color w:val="000000"/>
          <w:kern w:val="0"/>
          <w:sz w:val="32"/>
          <w:szCs w:val="32"/>
        </w:rPr>
        <w:t>）住房保障支出（类）</w:t>
      </w:r>
    </w:p>
    <w:p w14:paraId="2858FC24">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住房保障支出（类）决算数为</w:t>
      </w:r>
      <w:r>
        <w:rPr>
          <w:rFonts w:hint="eastAsia" w:asciiTheme="minorEastAsia" w:hAnsiTheme="minorEastAsia" w:eastAsiaTheme="minorEastAsia" w:cstheme="minorEastAsia"/>
          <w:color w:val="000000"/>
          <w:kern w:val="0"/>
          <w:sz w:val="32"/>
          <w:szCs w:val="32"/>
          <w:u w:val="single" w:color="000000"/>
        </w:rPr>
        <w:t> </w:t>
      </w:r>
      <w:r>
        <w:rPr>
          <w:rFonts w:hint="default" w:ascii="Times New Roman" w:hAnsi="Times New Roman" w:cs="Times New Roman" w:eastAsiaTheme="minorEastAsia"/>
          <w:color w:val="000000"/>
          <w:kern w:val="0"/>
          <w:sz w:val="32"/>
          <w:szCs w:val="32"/>
          <w:u w:val="single" w:color="000000"/>
        </w:rPr>
        <w:t>16.56</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万元，与年初预算相比减少</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u w:val="single" w:color="auto"/>
        </w:rPr>
        <w:t>1.07</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eastAsia" w:ascii="Times New Roman" w:hAnsi="Times New Roman" w:eastAsia="仿宋_GB2312" w:cs="fang_song_gb2312"/>
          <w:kern w:val="0"/>
          <w:sz w:val="32"/>
          <w:szCs w:val="32"/>
          <w:lang w:val="en-US" w:eastAsia="zh-CN"/>
        </w:rPr>
        <w:t>万元。其中：</w:t>
      </w:r>
    </w:p>
    <w:p w14:paraId="4E3C3D33">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住房改革支出（款）住房公积金（项）。年初预算</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color="000000"/>
          <w:lang w:val="en-US" w:eastAsia="zh-CN"/>
        </w:rPr>
        <w:t>17.63</w:t>
      </w:r>
      <w:r>
        <w:rPr>
          <w:rFonts w:hint="eastAsia" w:ascii="Times New Roman" w:hAnsi="Times New Roman" w:eastAsia="仿宋_GB2312" w:cs="fang_song_gb2312"/>
          <w:kern w:val="0"/>
          <w:sz w:val="32"/>
          <w:szCs w:val="32"/>
          <w:lang w:val="en-US" w:eastAsia="zh-CN"/>
        </w:rPr>
        <w:t>万元，支出决算</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default" w:ascii="Times New Roman" w:hAnsi="Times New Roman" w:cs="Times New Roman" w:eastAsiaTheme="minorEastAsia"/>
          <w:color w:val="000000"/>
          <w:kern w:val="0"/>
          <w:sz w:val="32"/>
          <w:szCs w:val="32"/>
          <w:u w:val="single" w:color="auto"/>
          <w:lang w:val="en-US" w:eastAsia="zh-CN"/>
        </w:rPr>
        <w:t>16.56</w:t>
      </w:r>
      <w:r>
        <w:rPr>
          <w:rFonts w:hint="eastAsia" w:asciiTheme="minorEastAsia" w:hAnsiTheme="minorEastAsia" w:eastAsiaTheme="minorEastAsia" w:cstheme="minorEastAsia"/>
          <w:color w:val="000000"/>
          <w:kern w:val="0"/>
          <w:sz w:val="32"/>
          <w:szCs w:val="32"/>
          <w:u w:val="single" w:color="auto"/>
          <w:lang w:val="en-US" w:eastAsia="zh-CN"/>
        </w:rPr>
        <w:t xml:space="preserve"> </w:t>
      </w:r>
      <w:r>
        <w:rPr>
          <w:rFonts w:hint="eastAsia" w:ascii="Times New Roman" w:hAnsi="Times New Roman" w:eastAsia="仿宋_GB2312" w:cs="fang_song_gb2312"/>
          <w:kern w:val="0"/>
          <w:sz w:val="32"/>
          <w:szCs w:val="32"/>
          <w:lang w:val="en-US" w:eastAsia="zh-CN"/>
        </w:rPr>
        <w:t>万元，完成年初预算的</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highlight w:val="none"/>
          <w:u w:val="single" w:color="000000"/>
          <w:lang w:val="en-US" w:eastAsia="zh-CN"/>
        </w:rPr>
        <w:t>93.93</w:t>
      </w:r>
      <w:r>
        <w:rPr>
          <w:rFonts w:hint="eastAsia" w:ascii="Times New Roman" w:hAnsi="Times New Roman" w:cs="Times New Roman" w:eastAsiaTheme="minorEastAsia"/>
          <w:color w:val="000000"/>
          <w:kern w:val="0"/>
          <w:sz w:val="32"/>
          <w:szCs w:val="32"/>
          <w:highlight w:val="none"/>
          <w:u w:val="single" w:color="000000"/>
          <w:lang w:val="en-US" w:eastAsia="zh-CN"/>
        </w:rPr>
        <w:t xml:space="preserve"> </w:t>
      </w:r>
      <w:r>
        <w:rPr>
          <w:rFonts w:hint="default" w:ascii="Times New Roman" w:hAnsi="Times New Roman" w:cs="Times New Roman" w:eastAsiaTheme="minorEastAsia"/>
          <w:color w:val="000000"/>
          <w:kern w:val="0"/>
          <w:sz w:val="32"/>
          <w:szCs w:val="32"/>
        </w:rPr>
        <w:t>%</w:t>
      </w:r>
      <w:r>
        <w:rPr>
          <w:rFonts w:hint="eastAsia" w:asciiTheme="minorEastAsia" w:hAnsiTheme="minorEastAsia" w:eastAsiaTheme="minorEastAsia" w:cstheme="minorEastAsia"/>
          <w:color w:val="000000"/>
          <w:kern w:val="0"/>
          <w:sz w:val="32"/>
          <w:szCs w:val="32"/>
        </w:rPr>
        <w:t>。</w:t>
      </w:r>
      <w:r>
        <w:rPr>
          <w:rFonts w:hint="eastAsia" w:ascii="Times New Roman" w:hAnsi="Times New Roman" w:eastAsia="仿宋_GB2312" w:cs="fang_song_gb2312"/>
          <w:kern w:val="0"/>
          <w:sz w:val="32"/>
          <w:szCs w:val="32"/>
          <w:lang w:val="en-US" w:eastAsia="zh-CN"/>
        </w:rPr>
        <w:t>决算数与年初预算数的差异原因：人员变动、工资调整。</w:t>
      </w:r>
    </w:p>
    <w:p w14:paraId="20381758">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outlineLvl w:val="1"/>
        <w:rPr>
          <w:rFonts w:hint="eastAsia" w:asciiTheme="minorEastAsia" w:hAnsiTheme="minorEastAsia" w:eastAsiaTheme="minorEastAsia" w:cstheme="minorEastAsia"/>
          <w:kern w:val="0"/>
          <w:sz w:val="32"/>
          <w:szCs w:val="32"/>
        </w:rPr>
      </w:pPr>
      <w:bookmarkStart w:id="14" w:name="_Toc14827"/>
      <w:r>
        <w:rPr>
          <w:rFonts w:hint="eastAsia" w:asciiTheme="minorEastAsia" w:hAnsiTheme="minorEastAsia" w:eastAsiaTheme="minorEastAsia" w:cstheme="minorEastAsia"/>
          <w:b/>
          <w:bCs/>
          <w:kern w:val="0"/>
          <w:sz w:val="32"/>
          <w:szCs w:val="32"/>
        </w:rPr>
        <w:t>六、一般公共预算财政拨款基本支出决算情况说明</w:t>
      </w:r>
      <w:bookmarkEnd w:id="14"/>
    </w:p>
    <w:p w14:paraId="420F2922">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heme="minorEastAsia" w:hAnsiTheme="minorEastAsia" w:eastAsiaTheme="minorEastAsia" w:cstheme="minorEastAsia"/>
          <w:kern w:val="0"/>
          <w:sz w:val="32"/>
          <w:szCs w:val="32"/>
        </w:rPr>
      </w:pPr>
      <w:r>
        <w:rPr>
          <w:rFonts w:hint="eastAsia" w:ascii="Times New Roman" w:hAnsi="Times New Roman" w:eastAsia="仿宋_GB2312" w:cs="fang_song_gb2312"/>
          <w:kern w:val="0"/>
          <w:sz w:val="32"/>
          <w:szCs w:val="32"/>
          <w:lang w:val="en-US" w:eastAsia="zh-CN"/>
        </w:rPr>
        <w:t>科尔沁左翼中旗政府办公室政务保障中心2024年度一般公共预算财政拨款基本支出决算</w:t>
      </w:r>
      <w:r>
        <w:rPr>
          <w:rFonts w:hint="eastAsia" w:asciiTheme="minorEastAsia" w:hAnsiTheme="minorEastAsia" w:eastAsiaTheme="minorEastAsia" w:cstheme="minorEastAsia"/>
          <w:color w:val="000000"/>
          <w:kern w:val="0"/>
          <w:sz w:val="32"/>
          <w:szCs w:val="32"/>
          <w:u w:val="single" w:color="000000"/>
        </w:rPr>
        <w:t> </w:t>
      </w:r>
      <w:r>
        <w:rPr>
          <w:rFonts w:hint="default" w:ascii="Times New Roman" w:hAnsi="Times New Roman" w:cs="Times New Roman" w:eastAsiaTheme="minorEastAsia"/>
          <w:color w:val="000000"/>
          <w:kern w:val="0"/>
          <w:sz w:val="32"/>
          <w:szCs w:val="32"/>
          <w:u w:val="single" w:color="000000"/>
        </w:rPr>
        <w:t>233.86</w:t>
      </w:r>
      <w:r>
        <w:rPr>
          <w:rFonts w:hint="default" w:ascii="Times New Roman" w:hAnsi="Times New Roman" w:cs="Times New Roman" w:eastAsia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万元，其中：</w:t>
      </w:r>
    </w:p>
    <w:p w14:paraId="6E9E561E">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（一）人员经费</w:t>
      </w:r>
      <w:r>
        <w:rPr>
          <w:rFonts w:hint="eastAsia" w:asciiTheme="minorEastAsia" w:hAnsiTheme="minorEastAsia" w:eastAsiaTheme="minorEastAsia" w:cstheme="minorEastAsia"/>
          <w:color w:val="000000"/>
          <w:kern w:val="0"/>
          <w:sz w:val="32"/>
          <w:szCs w:val="32"/>
          <w:u w:val="single" w:color="000000"/>
        </w:rPr>
        <w:t> </w:t>
      </w:r>
      <w:r>
        <w:rPr>
          <w:rFonts w:hint="default" w:ascii="Times New Roman" w:hAnsi="Times New Roman" w:cs="Times New Roman" w:eastAsiaTheme="minorEastAsia"/>
          <w:color w:val="000000"/>
          <w:kern w:val="0"/>
          <w:sz w:val="32"/>
          <w:szCs w:val="32"/>
          <w:u w:val="single" w:color="000000"/>
        </w:rPr>
        <w:t>225.88</w:t>
      </w:r>
      <w:r>
        <w:rPr>
          <w:rFonts w:hint="default" w:ascii="Times New Roman" w:hAnsi="Times New Roman" w:cs="Times New Roman" w:eastAsiaTheme="minorEastAsia"/>
          <w:color w:val="000000"/>
          <w:kern w:val="0"/>
          <w:sz w:val="32"/>
          <w:szCs w:val="32"/>
          <w:u w:val="single" w:color="000000"/>
          <w:lang w:val="en-US" w:eastAsia="zh-CN"/>
        </w:rPr>
        <w:t xml:space="preserve"> </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万元。主要包括：基本工资</w:t>
      </w:r>
      <w:r>
        <w:rPr>
          <w:rFonts w:hint="default" w:ascii="Times New Roman" w:hAnsi="Times New Roman" w:cs="Times New Roman" w:eastAsiaTheme="minorEastAsia"/>
          <w:color w:val="000000"/>
          <w:kern w:val="0"/>
          <w:sz w:val="32"/>
          <w:szCs w:val="32"/>
          <w:u w:val="single"/>
          <w:lang w:val="en-US" w:eastAsia="zh-CN"/>
        </w:rPr>
        <w:t>77.20</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万元、津贴补贴</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48.37</w:t>
      </w:r>
      <w:r>
        <w:rPr>
          <w:rFonts w:hint="eastAsia" w:ascii="Times New Roman" w:hAnsi="Times New Roman" w:eastAsia="仿宋_GB2312" w:cs="fang_song_gb2312"/>
          <w:kern w:val="0"/>
          <w:sz w:val="32"/>
          <w:szCs w:val="32"/>
          <w:lang w:val="en-US" w:eastAsia="zh-CN"/>
        </w:rPr>
        <w:t>万元、奖金</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15.51</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万元、绩效工资</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27.28</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万元、机关事业单位基本养老保险缴费</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26.50</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万元、职业年金缴费</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1.04</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万元、职工基本医疗保险缴费</w:t>
      </w:r>
      <w:r>
        <w:rPr>
          <w:rFonts w:hint="default" w:ascii="Times New Roman" w:hAnsi="Times New Roman" w:cs="Times New Roman" w:eastAsiaTheme="minorEastAsia"/>
          <w:color w:val="000000"/>
          <w:kern w:val="0"/>
          <w:sz w:val="32"/>
          <w:szCs w:val="32"/>
          <w:u w:val="single"/>
          <w:lang w:val="en-US" w:eastAsia="zh-CN"/>
        </w:rPr>
        <w:t>11.82</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万元、其他社会保险缴费</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1.59</w:t>
      </w:r>
      <w:r>
        <w:rPr>
          <w:rFonts w:hint="eastAsia" w:ascii="Times New Roman" w:hAnsi="Times New Roman" w:cs="Times New Roman" w:eastAsia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万元、住房公积金</w:t>
      </w:r>
      <w:r>
        <w:rPr>
          <w:rFonts w:hint="default" w:ascii="Times New Roman" w:hAnsi="Times New Roman" w:cs="Times New Roman" w:eastAsiaTheme="minorEastAsia"/>
          <w:color w:val="000000"/>
          <w:kern w:val="0"/>
          <w:sz w:val="32"/>
          <w:szCs w:val="32"/>
          <w:u w:val="single"/>
          <w:lang w:val="en-US" w:eastAsia="zh-CN"/>
        </w:rPr>
        <w:t>16.56</w:t>
      </w:r>
      <w:r>
        <w:rPr>
          <w:rFonts w:hint="eastAsia" w:ascii="Times New Roman" w:hAnsi="Times New Roman" w:eastAsia="仿宋_GB2312" w:cs="fang_song_gb2312"/>
          <w:kern w:val="0"/>
          <w:sz w:val="32"/>
          <w:szCs w:val="32"/>
          <w:lang w:val="en-US" w:eastAsia="zh-CN"/>
        </w:rPr>
        <w:t>万元。</w:t>
      </w:r>
    </w:p>
    <w:p w14:paraId="7818F08B">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heme="minorEastAsia" w:hAnsiTheme="minorEastAsia" w:eastAsiaTheme="minorEastAsia" w:cstheme="minorEastAsia"/>
          <w:kern w:val="0"/>
          <w:sz w:val="32"/>
          <w:szCs w:val="32"/>
        </w:rPr>
      </w:pPr>
      <w:r>
        <w:rPr>
          <w:rFonts w:hint="eastAsia" w:ascii="Times New Roman" w:hAnsi="Times New Roman" w:eastAsia="仿宋_GB2312" w:cs="fang_song_gb2312"/>
          <w:kern w:val="0"/>
          <w:sz w:val="32"/>
          <w:szCs w:val="32"/>
          <w:lang w:val="en-US" w:eastAsia="zh-CN"/>
        </w:rPr>
        <w:t>（二）公用经费</w:t>
      </w:r>
      <w:r>
        <w:rPr>
          <w:rFonts w:hint="eastAsia" w:asciiTheme="minorEastAsia" w:hAnsiTheme="minorEastAsia" w:eastAsiaTheme="minorEastAsia" w:cstheme="minorEastAsia"/>
          <w:color w:val="000000"/>
          <w:kern w:val="0"/>
          <w:sz w:val="32"/>
          <w:szCs w:val="32"/>
          <w:u w:val="single" w:color="000000"/>
        </w:rPr>
        <w:t> </w:t>
      </w:r>
      <w:r>
        <w:rPr>
          <w:rFonts w:hint="default" w:ascii="Times New Roman" w:hAnsi="Times New Roman" w:cs="Times New Roman" w:eastAsiaTheme="minorEastAsia"/>
          <w:color w:val="000000"/>
          <w:kern w:val="0"/>
          <w:sz w:val="32"/>
          <w:szCs w:val="32"/>
          <w:u w:val="single" w:color="000000"/>
        </w:rPr>
        <w:t>7.98</w:t>
      </w:r>
      <w:r>
        <w:rPr>
          <w:rFonts w:hint="eastAsia" w:ascii="Times New Roman" w:hAnsi="Times New Roman" w:cs="Times New Roman" w:eastAsiaTheme="minorEastAsia"/>
          <w:color w:val="000000"/>
          <w:kern w:val="0"/>
          <w:sz w:val="32"/>
          <w:szCs w:val="32"/>
          <w:u w:val="single" w:color="000000"/>
          <w:lang w:val="en-US" w:eastAsia="zh-CN"/>
        </w:rPr>
        <w:t xml:space="preserve"> </w:t>
      </w:r>
      <w:r>
        <w:rPr>
          <w:rFonts w:hint="eastAsia" w:asciiTheme="minorEastAsia" w:hAnsiTheme="minorEastAsia" w:eastAsiaTheme="minorEastAsia" w:cstheme="minorEastAsia"/>
          <w:color w:val="000000"/>
          <w:kern w:val="0"/>
          <w:sz w:val="32"/>
          <w:szCs w:val="32"/>
          <w:u w:val="single" w:color="000000"/>
          <w:lang w:val="en-US" w:eastAsia="zh-CN"/>
        </w:rPr>
        <w:t xml:space="preserve"> </w:t>
      </w:r>
      <w:r>
        <w:rPr>
          <w:rFonts w:hint="eastAsia" w:ascii="Times New Roman" w:hAnsi="Times New Roman" w:eastAsia="仿宋_GB2312" w:cs="fang_song_gb2312"/>
          <w:kern w:val="0"/>
          <w:sz w:val="32"/>
          <w:szCs w:val="32"/>
          <w:lang w:val="en-US" w:eastAsia="zh-CN"/>
        </w:rPr>
        <w:t>万元。主要包括：其他交通费用</w:t>
      </w:r>
      <w:r>
        <w:rPr>
          <w:rFonts w:hint="eastAsia" w:eastAsia="仿宋_GB2312" w:cs="fang_song_gb2312"/>
          <w:kern w:val="0"/>
          <w:sz w:val="32"/>
          <w:szCs w:val="32"/>
          <w:u w:val="single"/>
          <w:lang w:val="en-US" w:eastAsia="zh-CN"/>
        </w:rPr>
        <w:t xml:space="preserve"> </w:t>
      </w:r>
      <w:r>
        <w:rPr>
          <w:rFonts w:hint="default" w:ascii="Times New Roman" w:hAnsi="Times New Roman" w:cs="Times New Roman" w:eastAsiaTheme="minorEastAsia"/>
          <w:color w:val="000000"/>
          <w:kern w:val="0"/>
          <w:sz w:val="32"/>
          <w:szCs w:val="32"/>
          <w:u w:val="single"/>
          <w:lang w:val="en-US" w:eastAsia="zh-CN"/>
        </w:rPr>
        <w:t>7.98</w:t>
      </w:r>
      <w:r>
        <w:rPr>
          <w:rFonts w:hint="eastAsia" w:asciiTheme="minorEastAsia" w:hAnsiTheme="minorEastAsia" w:eastAsiaTheme="minorEastAsia" w:cstheme="minorEastAsia"/>
          <w:color w:val="000000"/>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w:t>
      </w:r>
      <w:r>
        <w:rPr>
          <w:rFonts w:hint="eastAsia" w:asciiTheme="minorEastAsia" w:hAnsiTheme="minorEastAsia" w:eastAsiaTheme="minorEastAsia" w:cstheme="minorEastAsia"/>
          <w:color w:val="0E00FE"/>
          <w:kern w:val="0"/>
          <w:sz w:val="32"/>
          <w:szCs w:val="32"/>
        </w:rPr>
        <w:t xml:space="preserve">    </w:t>
      </w:r>
    </w:p>
    <w:p w14:paraId="6737DD7C">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kern w:val="0"/>
          <w:sz w:val="32"/>
          <w:szCs w:val="32"/>
        </w:rPr>
      </w:pPr>
      <w:bookmarkStart w:id="15" w:name="_Toc8942"/>
      <w:r>
        <w:rPr>
          <w:rFonts w:hint="eastAsia" w:asciiTheme="minorEastAsia" w:hAnsiTheme="minorEastAsia" w:eastAsiaTheme="minorEastAsia" w:cstheme="minorEastAsia"/>
          <w:b/>
          <w:bCs/>
          <w:kern w:val="0"/>
          <w:sz w:val="32"/>
          <w:szCs w:val="32"/>
        </w:rPr>
        <w:t>七、一般公共预算财政拨款项目支出决算情况说明</w:t>
      </w:r>
      <w:bookmarkEnd w:id="15"/>
    </w:p>
    <w:p w14:paraId="58ECA01F">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heme="minorEastAsia" w:hAnsiTheme="minorEastAsia" w:eastAsiaTheme="minorEastAsia" w:cstheme="minorEastAsia"/>
          <w:kern w:val="0"/>
          <w:sz w:val="32"/>
          <w:szCs w:val="32"/>
        </w:rPr>
      </w:pPr>
      <w:r>
        <w:rPr>
          <w:rFonts w:hint="eastAsia" w:ascii="Times New Roman" w:hAnsi="Times New Roman" w:eastAsia="仿宋_GB2312" w:cs="fang_song_gb2312"/>
          <w:kern w:val="0"/>
          <w:sz w:val="32"/>
          <w:szCs w:val="32"/>
          <w:lang w:val="en-US" w:eastAsia="zh-CN"/>
        </w:rPr>
        <w:t>科尔沁左翼中旗政府办公室政务保障中心2024年度一般公共预算财政拨款项目支出决算</w:t>
      </w:r>
      <w:r>
        <w:rPr>
          <w:rFonts w:hint="default" w:ascii="Times New Roman" w:hAnsi="Times New Roman" w:cs="Times New Roman" w:eastAsiaTheme="minorEastAsia"/>
          <w:color w:val="000000"/>
          <w:kern w:val="0"/>
          <w:sz w:val="32"/>
          <w:szCs w:val="32"/>
          <w:u w:val="single" w:color="000000"/>
        </w:rPr>
        <w:t xml:space="preserve"> 0</w:t>
      </w:r>
      <w:r>
        <w:rPr>
          <w:rFonts w:hint="eastAsia" w:ascii="Times New Roman" w:hAnsi="Times New Roman" w:eastAsia="仿宋_GB2312" w:cs="fang_song_gb2312"/>
          <w:kern w:val="0"/>
          <w:sz w:val="32"/>
          <w:szCs w:val="32"/>
          <w:lang w:val="en-US" w:eastAsia="zh-CN"/>
        </w:rPr>
        <w:t>万元，其中：</w:t>
      </w:r>
    </w:p>
    <w:p w14:paraId="3A089629">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rPr>
          <w:rFonts w:hint="eastAsia" w:ascii="Times New Roman" w:hAnsi="Times New Roman" w:eastAsia="仿宋_GB2312" w:cs="fang_song_gb2312"/>
          <w:b/>
          <w:bCs/>
          <w:kern w:val="0"/>
          <w:sz w:val="32"/>
          <w:szCs w:val="32"/>
          <w:lang w:val="en-US" w:eastAsia="zh-CN"/>
        </w:rPr>
      </w:pPr>
      <w:r>
        <w:rPr>
          <w:rFonts w:hint="eastAsia" w:ascii="Times New Roman" w:hAnsi="Times New Roman" w:eastAsia="仿宋_GB2312" w:cs="fang_song_gb2312"/>
          <w:b/>
          <w:bCs/>
          <w:kern w:val="0"/>
          <w:sz w:val="32"/>
          <w:szCs w:val="32"/>
          <w:lang w:val="en-US" w:eastAsia="zh-CN"/>
        </w:rPr>
        <w:t>（一）工资福利支出</w:t>
      </w:r>
      <w:r>
        <w:rPr>
          <w:rFonts w:hint="default" w:ascii="Times New Roman" w:hAnsi="Times New Roman" w:eastAsia="仿宋_GB2312" w:cs="Times New Roman"/>
          <w:b/>
          <w:bCs/>
          <w:kern w:val="0"/>
          <w:sz w:val="32"/>
          <w:szCs w:val="32"/>
          <w:u w:val="single"/>
          <w:lang w:val="en-US" w:eastAsia="zh-CN"/>
        </w:rPr>
        <w:t xml:space="preserve"> 0</w:t>
      </w:r>
      <w:r>
        <w:rPr>
          <w:rFonts w:hint="eastAsia" w:ascii="Times New Roman" w:hAnsi="Times New Roman" w:eastAsia="仿宋_GB2312" w:cs="fang_song_gb2312"/>
          <w:b/>
          <w:bCs/>
          <w:kern w:val="0"/>
          <w:sz w:val="32"/>
          <w:szCs w:val="32"/>
          <w:lang w:val="en-US" w:eastAsia="zh-CN"/>
        </w:rPr>
        <w:t>万元。</w:t>
      </w:r>
    </w:p>
    <w:p w14:paraId="51D083DA">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rPr>
          <w:rFonts w:hint="eastAsia" w:ascii="Times New Roman" w:hAnsi="Times New Roman" w:eastAsia="仿宋_GB2312" w:cs="fang_song_gb2312"/>
          <w:b/>
          <w:bCs/>
          <w:kern w:val="0"/>
          <w:sz w:val="32"/>
          <w:szCs w:val="32"/>
          <w:lang w:val="en-US" w:eastAsia="zh-CN"/>
        </w:rPr>
      </w:pPr>
      <w:r>
        <w:rPr>
          <w:rFonts w:hint="eastAsia" w:ascii="Times New Roman" w:hAnsi="Times New Roman" w:eastAsia="仿宋_GB2312" w:cs="fang_song_gb2312"/>
          <w:b/>
          <w:bCs/>
          <w:kern w:val="0"/>
          <w:sz w:val="32"/>
          <w:szCs w:val="32"/>
          <w:lang w:val="en-US" w:eastAsia="zh-CN"/>
        </w:rPr>
        <w:t>（二）商品和服务支出</w:t>
      </w:r>
      <w:r>
        <w:rPr>
          <w:rFonts w:hint="eastAsia" w:ascii="Times New Roman" w:hAnsi="Times New Roman" w:eastAsia="仿宋_GB2312" w:cs="Times New Roman"/>
          <w:b/>
          <w:bCs/>
          <w:kern w:val="0"/>
          <w:sz w:val="32"/>
          <w:szCs w:val="32"/>
          <w:u w:val="single"/>
          <w:lang w:val="en-US" w:eastAsia="zh-CN"/>
        </w:rPr>
        <w:t xml:space="preserve"> 0</w:t>
      </w:r>
      <w:r>
        <w:rPr>
          <w:rFonts w:hint="eastAsia" w:ascii="Times New Roman" w:hAnsi="Times New Roman" w:eastAsia="仿宋_GB2312" w:cs="fang_song_gb2312"/>
          <w:b/>
          <w:bCs/>
          <w:kern w:val="0"/>
          <w:sz w:val="32"/>
          <w:szCs w:val="32"/>
          <w:lang w:val="en-US" w:eastAsia="zh-CN"/>
        </w:rPr>
        <w:t>万元。</w:t>
      </w:r>
    </w:p>
    <w:p w14:paraId="757965FD">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（三）资本性支出</w:t>
      </w:r>
      <w:r>
        <w:rPr>
          <w:rFonts w:hint="eastAsia" w:ascii="Times New Roman" w:hAnsi="Times New Roman" w:eastAsia="仿宋_GB2312" w:cs="Times New Roman"/>
          <w:b/>
          <w:bCs/>
          <w:kern w:val="0"/>
          <w:sz w:val="32"/>
          <w:szCs w:val="32"/>
          <w:u w:val="single"/>
          <w:lang w:val="en-US" w:eastAsia="zh-CN"/>
        </w:rPr>
        <w:t xml:space="preserve"> 0</w:t>
      </w:r>
      <w:r>
        <w:rPr>
          <w:rFonts w:hint="eastAsia" w:ascii="Times New Roman" w:hAnsi="Times New Roman" w:eastAsia="仿宋_GB2312" w:cs="fang_song_gb2312"/>
          <w:b/>
          <w:bCs/>
          <w:kern w:val="0"/>
          <w:sz w:val="32"/>
          <w:szCs w:val="32"/>
          <w:lang w:val="en-US" w:eastAsia="zh-CN"/>
        </w:rPr>
        <w:t>万元。</w:t>
      </w:r>
    </w:p>
    <w:p w14:paraId="4D02FEB1">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kern w:val="0"/>
          <w:sz w:val="32"/>
          <w:szCs w:val="32"/>
        </w:rPr>
      </w:pPr>
      <w:bookmarkStart w:id="16" w:name="_Toc17022"/>
      <w:r>
        <w:rPr>
          <w:rFonts w:hint="eastAsia" w:asciiTheme="minorEastAsia" w:hAnsiTheme="minorEastAsia" w:eastAsiaTheme="minorEastAsia" w:cstheme="minorEastAsia"/>
          <w:b/>
          <w:bCs/>
          <w:kern w:val="0"/>
          <w:sz w:val="32"/>
          <w:szCs w:val="32"/>
        </w:rPr>
        <w:t>八、财政拨款“三公”经费支出决算情况说明</w:t>
      </w:r>
      <w:bookmarkEnd w:id="16"/>
    </w:p>
    <w:p w14:paraId="2EB35D1D">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（一）财政拨款“三公”经费支出总体情况说明。</w:t>
      </w:r>
    </w:p>
    <w:p w14:paraId="27706FDE">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default"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w:t>
      </w:r>
      <w:r>
        <w:rPr>
          <w:rFonts w:hint="default" w:ascii="Times New Roman" w:hAnsi="Times New Roman" w:eastAsia="仿宋_GB2312" w:cs="Times New Roman"/>
          <w:kern w:val="0"/>
          <w:sz w:val="32"/>
          <w:szCs w:val="32"/>
          <w:lang w:val="en-US" w:eastAsia="zh-CN"/>
        </w:rPr>
        <w:t>2024</w:t>
      </w:r>
      <w:r>
        <w:rPr>
          <w:rFonts w:hint="eastAsia" w:ascii="Times New Roman" w:hAnsi="Times New Roman" w:eastAsia="仿宋_GB2312" w:cs="fang_song_gb2312"/>
          <w:kern w:val="0"/>
          <w:sz w:val="32"/>
          <w:szCs w:val="32"/>
          <w:lang w:val="en-US" w:eastAsia="zh-CN"/>
        </w:rPr>
        <w:t>年度财政拨款“三公”经费全年预算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万元，支出决算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万元，完成预算的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。其中：因公出国（境）费全年预算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万元，支出决算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万元，完成预算的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；公务用车购置及运行维护费全年预算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万元，支出决算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万元，完成预算的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公务接待费全年预算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万元，支出决算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万元，完成预算的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。2024年度一般公共预算财政拨款“三公”经费全年预算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万元，支出决算</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万元，与预算差异原因：本单位不存在此项内容。</w:t>
      </w:r>
    </w:p>
    <w:p w14:paraId="6258D07B">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kern w:val="0"/>
          <w:sz w:val="32"/>
          <w:szCs w:val="32"/>
        </w:rPr>
        <w:t>（二）财政拨款“三公”经费支出具体情况说明。</w:t>
      </w:r>
    </w:p>
    <w:p w14:paraId="58B90C52">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科尔沁左翼中旗政府办公室政务保障中心2024年度财政拨款“三公”经费支出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万元。因公出国（境）费支出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%；公务用车购置及运行维护费支出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万元，占 </w:t>
      </w:r>
      <w:r>
        <w:rPr>
          <w:rFonts w:hint="eastAsia" w:ascii="Times New Roman" w:hAnsi="Times New Roman" w:eastAsia="仿宋_GB2312" w:cs="fang_song_gb2312"/>
          <w:kern w:val="0"/>
          <w:sz w:val="32"/>
          <w:szCs w:val="32"/>
          <w:u w:val="single"/>
          <w:lang w:val="en-US" w:eastAsia="zh-CN"/>
        </w:rPr>
        <w:t>0</w:t>
      </w:r>
      <w:r>
        <w:rPr>
          <w:rFonts w:hint="eastAsia" w:ascii="Times New Roman" w:hAnsi="Times New Roman" w:eastAsia="仿宋_GB2312" w:cs="fang_song_gb2312"/>
          <w:kern w:val="0"/>
          <w:sz w:val="32"/>
          <w:szCs w:val="32"/>
          <w:lang w:val="en-US" w:eastAsia="zh-CN"/>
        </w:rPr>
        <w:t xml:space="preserve">%；公务接待费支出 </w:t>
      </w:r>
      <w:r>
        <w:rPr>
          <w:rFonts w:hint="eastAsia" w:ascii="Times New Roman" w:hAnsi="Times New Roman" w:eastAsia="仿宋_GB2312" w:cs="fang_song_gb2312"/>
          <w:kern w:val="0"/>
          <w:sz w:val="32"/>
          <w:szCs w:val="32"/>
          <w:u w:val="single"/>
          <w:lang w:val="en-US" w:eastAsia="zh-CN"/>
        </w:rPr>
        <w:t>0</w:t>
      </w:r>
      <w:r>
        <w:rPr>
          <w:rFonts w:hint="eastAsia" w:ascii="Times New Roman" w:hAnsi="Times New Roman" w:eastAsia="仿宋_GB2312" w:cs="fang_song_gb2312"/>
          <w:kern w:val="0"/>
          <w:sz w:val="32"/>
          <w:szCs w:val="32"/>
          <w:lang w:val="en-US" w:eastAsia="zh-CN"/>
        </w:rPr>
        <w:t>万元，占</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 %。其中：</w:t>
      </w:r>
    </w:p>
    <w:p w14:paraId="07F93BCE">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1.因公出国（境）费支出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万元，全年出国（境）团组 </w:t>
      </w:r>
      <w:r>
        <w:rPr>
          <w:rFonts w:hint="eastAsia" w:ascii="Times New Roman" w:hAnsi="Times New Roman" w:eastAsia="仿宋_GB2312" w:cs="fang_song_gb2312"/>
          <w:kern w:val="0"/>
          <w:sz w:val="32"/>
          <w:szCs w:val="32"/>
          <w:u w:val="single"/>
          <w:lang w:val="en-US" w:eastAsia="zh-CN"/>
        </w:rPr>
        <w:t xml:space="preserve">0 </w:t>
      </w:r>
      <w:r>
        <w:rPr>
          <w:rFonts w:hint="eastAsia" w:ascii="Times New Roman" w:hAnsi="Times New Roman" w:eastAsia="仿宋_GB2312" w:cs="fang_song_gb2312"/>
          <w:kern w:val="0"/>
          <w:sz w:val="32"/>
          <w:szCs w:val="32"/>
          <w:lang w:val="en-US" w:eastAsia="zh-CN"/>
        </w:rPr>
        <w:t>个，累计</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 xml:space="preserve">人次。与上年决算相比，增加 </w:t>
      </w:r>
      <w:r>
        <w:rPr>
          <w:rFonts w:hint="eastAsia" w:ascii="Times New Roman" w:hAnsi="Times New Roman" w:eastAsia="仿宋_GB2312" w:cs="fang_song_gb2312"/>
          <w:kern w:val="0"/>
          <w:sz w:val="32"/>
          <w:szCs w:val="32"/>
          <w:u w:val="single"/>
          <w:lang w:val="en-US" w:eastAsia="zh-CN"/>
        </w:rPr>
        <w:t>0</w:t>
      </w:r>
      <w:r>
        <w:rPr>
          <w:rFonts w:hint="eastAsia" w:ascii="Times New Roman" w:hAnsi="Times New Roman" w:eastAsia="仿宋_GB2312" w:cs="fang_song_gb2312"/>
          <w:kern w:val="0"/>
          <w:sz w:val="32"/>
          <w:szCs w:val="32"/>
          <w:lang w:val="en-US" w:eastAsia="zh-CN"/>
        </w:rPr>
        <w:t xml:space="preserve">万元，增长 </w:t>
      </w:r>
      <w:r>
        <w:rPr>
          <w:rFonts w:hint="eastAsia" w:ascii="Times New Roman" w:hAnsi="Times New Roman" w:eastAsia="仿宋_GB2312" w:cs="fang_song_gb2312"/>
          <w:kern w:val="0"/>
          <w:sz w:val="32"/>
          <w:szCs w:val="32"/>
          <w:u w:val="single"/>
          <w:lang w:val="en-US" w:eastAsia="zh-CN"/>
        </w:rPr>
        <w:t xml:space="preserve">0 </w:t>
      </w:r>
      <w:r>
        <w:rPr>
          <w:rFonts w:hint="eastAsia" w:ascii="Times New Roman" w:hAnsi="Times New Roman" w:eastAsia="仿宋_GB2312" w:cs="fang_song_gb2312"/>
          <w:kern w:val="0"/>
          <w:sz w:val="32"/>
          <w:szCs w:val="32"/>
          <w:lang w:val="en-US" w:eastAsia="zh-CN"/>
        </w:rPr>
        <w:t>%，变动原因：本单位不存在此项内容。</w:t>
      </w:r>
    </w:p>
    <w:p w14:paraId="2AEFA5F1">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2.公务用车购置及运行维护费支出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万元。其中：</w:t>
      </w:r>
    </w:p>
    <w:p w14:paraId="597D943B">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（1）公务用车购置支出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万元。本年度使用财政拨款购置公务用车</w:t>
      </w:r>
      <w:r>
        <w:rPr>
          <w:rFonts w:hint="eastAsia" w:ascii="Times New Roman" w:hAnsi="Times New Roman" w:eastAsia="仿宋_GB2312" w:cs="fang_song_gb2312"/>
          <w:kern w:val="0"/>
          <w:sz w:val="32"/>
          <w:szCs w:val="32"/>
          <w:u w:val="single"/>
          <w:lang w:val="en-US" w:eastAsia="zh-CN"/>
        </w:rPr>
        <w:t xml:space="preserve">0 </w:t>
      </w:r>
      <w:r>
        <w:rPr>
          <w:rFonts w:hint="eastAsia" w:ascii="Times New Roman" w:hAnsi="Times New Roman" w:eastAsia="仿宋_GB2312" w:cs="fang_song_gb2312"/>
          <w:kern w:val="0"/>
          <w:sz w:val="32"/>
          <w:szCs w:val="32"/>
          <w:lang w:val="en-US" w:eastAsia="zh-CN"/>
        </w:rPr>
        <w:t>辆，开支内容本单位不存在此项内容。与上年决算相比，增加</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 %，变动原因：本单位不存在此项内容。</w:t>
      </w:r>
    </w:p>
    <w:p w14:paraId="79D6D3D8">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（2）公务用车运行维护费支出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万元。公务用车运行维护费主要用于按规定保留的公务用车的燃料费、维修费、过桥过路费、保险费、安全奖励费用等支出。截至</w:t>
      </w:r>
      <w:r>
        <w:rPr>
          <w:rFonts w:hint="eastAsia" w:ascii="Times New Roman" w:hAnsi="Times New Roman" w:eastAsia="仿宋_GB2312" w:cs="fang_song_gb2312"/>
          <w:kern w:val="0"/>
          <w:sz w:val="32"/>
          <w:szCs w:val="32"/>
          <w:u w:val="none"/>
          <w:lang w:val="en-US" w:eastAsia="zh-CN"/>
        </w:rPr>
        <w:t>2024</w:t>
      </w:r>
      <w:r>
        <w:rPr>
          <w:rFonts w:hint="eastAsia" w:ascii="Times New Roman" w:hAnsi="Times New Roman" w:eastAsia="仿宋_GB2312" w:cs="fang_song_gb2312"/>
          <w:kern w:val="0"/>
          <w:sz w:val="32"/>
          <w:szCs w:val="32"/>
          <w:lang w:val="en-US" w:eastAsia="zh-CN"/>
        </w:rPr>
        <w:t>年</w:t>
      </w:r>
      <w:r>
        <w:rPr>
          <w:rFonts w:hint="eastAsia" w:ascii="Times New Roman" w:hAnsi="Times New Roman" w:eastAsia="仿宋_GB2312" w:cs="fang_song_gb2312"/>
          <w:kern w:val="0"/>
          <w:sz w:val="32"/>
          <w:szCs w:val="32"/>
          <w:u w:val="none"/>
          <w:lang w:val="en-US" w:eastAsia="zh-CN"/>
        </w:rPr>
        <w:t>12月31日，使用财政拨款开支的公务用车保有量为</w:t>
      </w:r>
      <w:r>
        <w:rPr>
          <w:rFonts w:hint="eastAsia" w:ascii="Times New Roman" w:hAnsi="Times New Roman" w:eastAsia="仿宋_GB2312" w:cs="fang_song_gb2312"/>
          <w:kern w:val="0"/>
          <w:sz w:val="32"/>
          <w:szCs w:val="32"/>
          <w:u w:val="single"/>
          <w:lang w:val="en-US" w:eastAsia="zh-CN"/>
        </w:rPr>
        <w:t xml:space="preserve">0 </w:t>
      </w:r>
      <w:r>
        <w:rPr>
          <w:rFonts w:hint="eastAsia" w:ascii="Times New Roman" w:hAnsi="Times New Roman" w:eastAsia="仿宋_GB2312" w:cs="fang_song_gb2312"/>
          <w:kern w:val="0"/>
          <w:sz w:val="32"/>
          <w:szCs w:val="32"/>
          <w:u w:val="none"/>
          <w:lang w:val="en-US" w:eastAsia="zh-CN"/>
        </w:rPr>
        <w:t>辆。</w:t>
      </w:r>
      <w:r>
        <w:rPr>
          <w:rFonts w:hint="eastAsia" w:ascii="Times New Roman" w:hAnsi="Times New Roman" w:eastAsia="仿宋_GB2312" w:cs="fang_song_gb2312"/>
          <w:kern w:val="0"/>
          <w:sz w:val="32"/>
          <w:szCs w:val="32"/>
          <w:lang w:val="en-US" w:eastAsia="zh-CN"/>
        </w:rPr>
        <w:t>与上年决算相比，增加</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fang_song_gb2312"/>
          <w:kern w:val="0"/>
          <w:sz w:val="32"/>
          <w:szCs w:val="32"/>
          <w:u w:val="single"/>
          <w:lang w:val="en-US" w:eastAsia="zh-CN"/>
        </w:rPr>
        <w:t>0</w:t>
      </w:r>
      <w:r>
        <w:rPr>
          <w:rFonts w:hint="eastAsia" w:ascii="Times New Roman" w:hAnsi="Times New Roman" w:eastAsia="仿宋_GB2312" w:cs="fang_song_gb2312"/>
          <w:kern w:val="0"/>
          <w:sz w:val="32"/>
          <w:szCs w:val="32"/>
          <w:lang w:val="en-US" w:eastAsia="zh-CN"/>
        </w:rPr>
        <w:t>%，变动原因：本单位不存在此项内容。</w:t>
      </w:r>
    </w:p>
    <w:p w14:paraId="54C50FCC">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 xml:space="preserve">3.公务接待费支出 </w:t>
      </w:r>
      <w:r>
        <w:rPr>
          <w:rFonts w:hint="eastAsia" w:ascii="Times New Roman" w:hAnsi="Times New Roman" w:eastAsia="仿宋_GB2312" w:cs="fang_song_gb2312"/>
          <w:kern w:val="0"/>
          <w:sz w:val="32"/>
          <w:szCs w:val="32"/>
          <w:u w:val="single"/>
          <w:lang w:val="en-US" w:eastAsia="zh-CN"/>
        </w:rPr>
        <w:t>0</w:t>
      </w:r>
      <w:r>
        <w:rPr>
          <w:rFonts w:hint="eastAsia" w:ascii="Times New Roman" w:hAnsi="Times New Roman" w:eastAsia="仿宋_GB2312" w:cs="fang_song_gb2312"/>
          <w:kern w:val="0"/>
          <w:sz w:val="32"/>
          <w:szCs w:val="32"/>
          <w:lang w:val="en-US" w:eastAsia="zh-CN"/>
        </w:rPr>
        <w:t>万元。其中：国内公务接待支出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万元，接待</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批次，</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人次，开支内容：本单位不存在此项内容；国（境）外公务接待支出</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万元，接待</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批次，</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 人次，开支内容：本单位不存在此项内容。与上年决算相比，增加</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 %，变动原因：本单位不存在此项内容。</w:t>
      </w:r>
    </w:p>
    <w:p w14:paraId="06FE600E">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kern w:val="0"/>
          <w:sz w:val="32"/>
          <w:szCs w:val="32"/>
        </w:rPr>
      </w:pPr>
      <w:bookmarkStart w:id="17" w:name="_Toc1271"/>
      <w:r>
        <w:rPr>
          <w:rFonts w:hint="eastAsia" w:asciiTheme="minorEastAsia" w:hAnsiTheme="minorEastAsia" w:eastAsiaTheme="minorEastAsia" w:cstheme="minorEastAsia"/>
          <w:b/>
          <w:bCs/>
          <w:kern w:val="0"/>
          <w:sz w:val="32"/>
          <w:szCs w:val="32"/>
        </w:rPr>
        <w:t>九、政府性基金预算财政拨款支出决算情况说明</w:t>
      </w:r>
      <w:bookmarkEnd w:id="17"/>
    </w:p>
    <w:p w14:paraId="30674D93">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科尔沁左翼中旗政府办公室政务保障中心2024年度政府性基金预算财政拨款支出决算</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万元。与上年决算相比，增加</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 %，变动原因：本年无政府性基金预算财政拨款收、支、余。</w:t>
      </w:r>
    </w:p>
    <w:p w14:paraId="420C707A">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kern w:val="0"/>
          <w:sz w:val="32"/>
          <w:szCs w:val="32"/>
        </w:rPr>
      </w:pPr>
      <w:bookmarkStart w:id="18" w:name="_Toc1856"/>
      <w:r>
        <w:rPr>
          <w:rFonts w:hint="eastAsia" w:asciiTheme="minorEastAsia" w:hAnsiTheme="minorEastAsia" w:eastAsiaTheme="minorEastAsia" w:cstheme="minorEastAsia"/>
          <w:b/>
          <w:bCs/>
          <w:kern w:val="0"/>
          <w:sz w:val="32"/>
          <w:szCs w:val="32"/>
        </w:rPr>
        <w:t>十、国有资本经营预算财政拨款支出决算情况说明</w:t>
      </w:r>
      <w:bookmarkEnd w:id="18"/>
    </w:p>
    <w:p w14:paraId="5770359F">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科尔沁左翼中旗政府办公室政务保障中心2024年度国有资本经营预算财政拨款支出决算</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万元。与上年决算相比，增加</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 xml:space="preserve"> %，变动原因：本年无国有资本经营预算财政拨款收、支、余。</w:t>
      </w:r>
    </w:p>
    <w:p w14:paraId="0007A043">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outlineLvl w:val="1"/>
        <w:rPr>
          <w:rFonts w:hint="eastAsia" w:asciiTheme="minorEastAsia" w:hAnsiTheme="minorEastAsia" w:eastAsiaTheme="minorEastAsia" w:cstheme="minorEastAsia"/>
          <w:kern w:val="0"/>
          <w:sz w:val="32"/>
          <w:szCs w:val="32"/>
        </w:rPr>
      </w:pPr>
      <w:bookmarkStart w:id="19" w:name="_Toc23482"/>
      <w:r>
        <w:rPr>
          <w:rFonts w:hint="eastAsia" w:asciiTheme="minorEastAsia" w:hAnsiTheme="minorEastAsia" w:eastAsiaTheme="minorEastAsia" w:cstheme="minorEastAsia"/>
          <w:b/>
          <w:bCs/>
          <w:kern w:val="0"/>
          <w:sz w:val="32"/>
          <w:szCs w:val="32"/>
        </w:rPr>
        <w:t>十一、机关运行经费（公用经费）支出决算情况说明</w:t>
      </w:r>
      <w:bookmarkEnd w:id="19"/>
    </w:p>
    <w:p w14:paraId="0D1C5091">
      <w:pPr>
        <w:keepNext w:val="0"/>
        <w:keepLines w:val="0"/>
        <w:pageBreakBefore w:val="0"/>
        <w:widowControl/>
        <w:kinsoku/>
        <w:wordWrap/>
        <w:overflowPunct/>
        <w:topLinePunct w:val="0"/>
        <w:autoSpaceDE/>
        <w:autoSpaceDN/>
        <w:bidi w:val="0"/>
        <w:adjustRightInd/>
        <w:snapToGrid/>
        <w:spacing w:before="240" w:after="240"/>
        <w:ind w:firstLine="640" w:firstLineChars="200"/>
        <w:textAlignment w:val="auto"/>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科尔沁左翼中旗政府办公室政务保障中心2024年度公用经费支出决算</w:t>
      </w:r>
      <w:r>
        <w:rPr>
          <w:rFonts w:hint="eastAsia" w:ascii="Times New Roman" w:hAnsi="Times New Roman" w:eastAsia="仿宋_GB2312" w:cs="fang_song_gb2312"/>
          <w:kern w:val="0"/>
          <w:sz w:val="32"/>
          <w:szCs w:val="32"/>
          <w:u w:val="single"/>
          <w:lang w:val="en-US" w:eastAsia="zh-CN"/>
        </w:rPr>
        <w:t xml:space="preserve">  7.98 </w:t>
      </w:r>
      <w:r>
        <w:rPr>
          <w:rFonts w:hint="eastAsia" w:ascii="Times New Roman" w:hAnsi="Times New Roman" w:eastAsia="仿宋_GB2312" w:cs="fang_song_gb2312"/>
          <w:kern w:val="0"/>
          <w:sz w:val="32"/>
          <w:szCs w:val="32"/>
          <w:lang w:val="en-US" w:eastAsia="zh-CN"/>
        </w:rPr>
        <w:t>万元，与上年决算相比，减少 0.98万元，下降</w:t>
      </w:r>
      <w:r>
        <w:rPr>
          <w:rFonts w:hint="eastAsia" w:ascii="Times New Roman" w:hAnsi="Times New Roman" w:eastAsia="仿宋_GB2312" w:cs="fang_song_gb2312"/>
          <w:kern w:val="0"/>
          <w:sz w:val="32"/>
          <w:szCs w:val="32"/>
          <w:u w:val="single"/>
          <w:lang w:val="en-US" w:eastAsia="zh-CN"/>
        </w:rPr>
        <w:t xml:space="preserve"> 10.94 </w:t>
      </w:r>
      <w:r>
        <w:rPr>
          <w:rFonts w:hint="eastAsia" w:ascii="Times New Roman" w:hAnsi="Times New Roman" w:eastAsia="仿宋_GB2312" w:cs="fang_song_gb2312"/>
          <w:kern w:val="0"/>
          <w:sz w:val="32"/>
          <w:szCs w:val="32"/>
          <w:lang w:val="en-US" w:eastAsia="zh-CN"/>
        </w:rPr>
        <w:t>%，变动</w:t>
      </w:r>
      <w:r>
        <w:rPr>
          <w:rFonts w:hint="eastAsia" w:ascii="Times New Roman" w:hAnsi="Times New Roman" w:eastAsia="仿宋_GB2312" w:cs="fang_song_gb2312"/>
          <w:kern w:val="0"/>
          <w:sz w:val="32"/>
          <w:szCs w:val="32"/>
          <w:highlight w:val="none"/>
          <w:lang w:val="en-US" w:eastAsia="zh-CN"/>
        </w:rPr>
        <w:t>原因：</w:t>
      </w:r>
      <w:r>
        <w:rPr>
          <w:rFonts w:hint="eastAsia" w:eastAsia="仿宋_GB2312" w:cs="fang_song_gb2312"/>
          <w:kern w:val="0"/>
          <w:sz w:val="32"/>
          <w:szCs w:val="32"/>
          <w:highlight w:val="none"/>
          <w:lang w:val="en-US" w:eastAsia="zh-CN"/>
        </w:rPr>
        <w:t>人员变动，退休人员增加</w:t>
      </w:r>
      <w:r>
        <w:rPr>
          <w:rFonts w:hint="eastAsia" w:ascii="Times New Roman" w:hAnsi="Times New Roman" w:eastAsia="仿宋_GB2312" w:cs="fang_song_gb2312"/>
          <w:kern w:val="0"/>
          <w:sz w:val="32"/>
          <w:szCs w:val="32"/>
          <w:highlight w:val="none"/>
          <w:lang w:val="en-US" w:eastAsia="zh-CN"/>
        </w:rPr>
        <w:t>。</w:t>
      </w:r>
      <w:r>
        <w:rPr>
          <w:rFonts w:hint="eastAsia" w:ascii="Times New Roman" w:hAnsi="Times New Roman" w:eastAsia="仿宋_GB2312" w:cs="fang_song_gb2312"/>
          <w:kern w:val="0"/>
          <w:sz w:val="32"/>
          <w:szCs w:val="32"/>
          <w:lang w:val="en-US" w:eastAsia="zh-CN"/>
        </w:rPr>
        <w:t xml:space="preserve">其中，机关运行经费支出决算 </w:t>
      </w:r>
      <w:r>
        <w:rPr>
          <w:rFonts w:hint="eastAsia" w:ascii="Times New Roman" w:hAnsi="Times New Roman" w:eastAsia="仿宋_GB2312" w:cs="fang_song_gb2312"/>
          <w:kern w:val="0"/>
          <w:sz w:val="32"/>
          <w:szCs w:val="32"/>
          <w:u w:val="single"/>
          <w:lang w:val="en-US" w:eastAsia="zh-CN"/>
        </w:rPr>
        <w:t>0</w:t>
      </w:r>
      <w:r>
        <w:rPr>
          <w:rFonts w:hint="eastAsia" w:ascii="Times New Roman" w:hAnsi="Times New Roman" w:eastAsia="仿宋_GB2312" w:cs="fang_song_gb2312"/>
          <w:kern w:val="0"/>
          <w:sz w:val="32"/>
          <w:szCs w:val="32"/>
          <w:lang w:val="en-US" w:eastAsia="zh-CN"/>
        </w:rPr>
        <w:t>万元。比上年决算相比，增加</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万元，增长</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，变动原因：本单位不存在此项内容。</w:t>
      </w:r>
    </w:p>
    <w:p w14:paraId="564FFD6C">
      <w:pPr>
        <w:keepNext w:val="0"/>
        <w:keepLines w:val="0"/>
        <w:pageBreakBefore w:val="0"/>
        <w:widowControl/>
        <w:kinsoku/>
        <w:wordWrap/>
        <w:overflowPunct/>
        <w:topLinePunct w:val="0"/>
        <w:autoSpaceDE/>
        <w:autoSpaceDN/>
        <w:bidi w:val="0"/>
        <w:adjustRightInd/>
        <w:snapToGrid/>
        <w:spacing w:before="240" w:after="240"/>
        <w:ind w:firstLine="643"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bCs/>
          <w:kern w:val="0"/>
          <w:sz w:val="32"/>
          <w:szCs w:val="32"/>
        </w:rPr>
        <w:t>十二、政府采购支出决算情况说明</w:t>
      </w:r>
    </w:p>
    <w:p w14:paraId="6E1D2DC0">
      <w:pPr>
        <w:widowControl/>
        <w:spacing w:before="240" w:after="240"/>
        <w:ind w:firstLine="640"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科尔沁左翼中旗政府办公室政务保障中心2024年度政府采购支出总额</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xml:space="preserve">0 </w:t>
      </w:r>
      <w:r>
        <w:rPr>
          <w:rFonts w:hint="eastAsia" w:ascii="Times New Roman" w:hAnsi="Times New Roman" w:eastAsia="仿宋_GB2312" w:cs="fang_song_gb2312"/>
          <w:kern w:val="0"/>
          <w:sz w:val="32"/>
          <w:szCs w:val="32"/>
          <w:lang w:val="en-US" w:eastAsia="zh-CN"/>
        </w:rPr>
        <w:t>万元，其中：政府采购货物支出</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xml:space="preserve">0 </w:t>
      </w:r>
      <w:r>
        <w:rPr>
          <w:rFonts w:hint="eastAsia" w:ascii="Times New Roman" w:hAnsi="Times New Roman" w:eastAsia="仿宋_GB2312" w:cs="fang_song_gb2312"/>
          <w:kern w:val="0"/>
          <w:sz w:val="32"/>
          <w:szCs w:val="32"/>
          <w:lang w:val="en-US" w:eastAsia="zh-CN"/>
        </w:rPr>
        <w:t>万元、政府采购工程支出</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万元、政府采购服务支出</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xml:space="preserve">0 </w:t>
      </w:r>
      <w:r>
        <w:rPr>
          <w:rFonts w:hint="eastAsia" w:ascii="Times New Roman" w:hAnsi="Times New Roman" w:eastAsia="仿宋_GB2312" w:cs="fang_song_gb2312"/>
          <w:kern w:val="0"/>
          <w:sz w:val="32"/>
          <w:szCs w:val="32"/>
          <w:lang w:val="en-US" w:eastAsia="zh-CN"/>
        </w:rPr>
        <w:t xml:space="preserve"> 万元。政府采购授予中小企业合同金额</w:t>
      </w:r>
      <w:r>
        <w:rPr>
          <w:rFonts w:hint="eastAsia" w:ascii="Times New Roman" w:hAnsi="Times New Roman" w:eastAsia="仿宋_GB2312" w:cs="fang_song_gb2312"/>
          <w:kern w:val="0"/>
          <w:sz w:val="32"/>
          <w:szCs w:val="32"/>
          <w:u w:val="single"/>
          <w:lang w:val="en-US" w:eastAsia="zh-CN"/>
        </w:rPr>
        <w:t> </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0</w:t>
      </w:r>
      <w:r>
        <w:rPr>
          <w:rFonts w:hint="eastAsia"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u w:val="single"/>
          <w:lang w:val="en-US" w:eastAsia="zh-CN"/>
        </w:rPr>
        <w:t xml:space="preserve"> </w:t>
      </w:r>
      <w:r>
        <w:rPr>
          <w:rFonts w:hint="eastAsia" w:ascii="Times New Roman" w:hAnsi="Times New Roman" w:eastAsia="仿宋_GB2312" w:cs="fang_song_gb2312"/>
          <w:kern w:val="0"/>
          <w:sz w:val="32"/>
          <w:szCs w:val="32"/>
          <w:lang w:val="en-US" w:eastAsia="zh-CN"/>
        </w:rPr>
        <w:t>万元，占政府采购支出总额的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%，其中：授予小微企业合同金额</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万元，占政府采购支出总额的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%；货物采购授予中小企业合同金额占货物支出金额的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%，工程采购授予中小企业合同金额占工程支出金额的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%，服务采购授予中小企业合同金额占服务支出金额的</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w:t>
      </w:r>
    </w:p>
    <w:p w14:paraId="20D6B826">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kern w:val="0"/>
          <w:sz w:val="32"/>
          <w:szCs w:val="32"/>
        </w:rPr>
      </w:pPr>
      <w:bookmarkStart w:id="20" w:name="_Toc25337"/>
      <w:r>
        <w:rPr>
          <w:rFonts w:hint="eastAsia" w:asciiTheme="minorEastAsia" w:hAnsiTheme="minorEastAsia" w:eastAsiaTheme="minorEastAsia" w:cstheme="minorEastAsia"/>
          <w:b/>
          <w:bCs/>
          <w:kern w:val="0"/>
          <w:sz w:val="32"/>
          <w:szCs w:val="32"/>
        </w:rPr>
        <w:t>十三、国有资产占用情况说明</w:t>
      </w:r>
      <w:bookmarkEnd w:id="20"/>
    </w:p>
    <w:p w14:paraId="484F80BE">
      <w:pPr>
        <w:widowControl/>
        <w:spacing w:before="240" w:after="240"/>
        <w:ind w:firstLine="640"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科尔沁左翼中旗政府办公室政务保障中心截至2024年12月31日，本单位共有车辆</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辆，其中：副部（省）级及以上领导用车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辆、主要负责人用车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辆、机要通信用车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辆、应急保障用车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辆、执法执勤用车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辆、特种专业技术用车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辆、离退休干部服务用车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辆，其他用车</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辆；单价100万元（含）以上的设备（不含车辆）</w:t>
      </w:r>
      <w:r>
        <w:rPr>
          <w:rFonts w:hint="eastAsia" w:ascii="Times New Roman" w:hAnsi="Times New Roman" w:eastAsia="仿宋_GB2312" w:cs="fang_song_gb2312"/>
          <w:kern w:val="0"/>
          <w:sz w:val="32"/>
          <w:szCs w:val="32"/>
          <w:u w:val="single"/>
          <w:lang w:val="en-US" w:eastAsia="zh-CN"/>
        </w:rPr>
        <w:t> 0</w:t>
      </w:r>
      <w:r>
        <w:rPr>
          <w:rFonts w:hint="eastAsia" w:ascii="Times New Roman" w:hAnsi="Times New Roman" w:eastAsia="仿宋_GB2312" w:cs="fang_song_gb2312"/>
          <w:kern w:val="0"/>
          <w:sz w:val="32"/>
          <w:szCs w:val="32"/>
          <w:lang w:val="en-US" w:eastAsia="zh-CN"/>
        </w:rPr>
        <w:t xml:space="preserve">  台（套）。</w:t>
      </w:r>
    </w:p>
    <w:p w14:paraId="3E82A5A3">
      <w:pPr>
        <w:keepNext w:val="0"/>
        <w:keepLines w:val="0"/>
        <w:pageBreakBefore w:val="0"/>
        <w:widowControl/>
        <w:kinsoku/>
        <w:wordWrap/>
        <w:overflowPunct/>
        <w:topLinePunct w:val="0"/>
        <w:autoSpaceDE/>
        <w:autoSpaceDN/>
        <w:bidi w:val="0"/>
        <w:adjustRightInd/>
        <w:snapToGrid/>
        <w:spacing w:before="240" w:after="240"/>
        <w:ind w:firstLine="643" w:firstLineChars="200"/>
        <w:jc w:val="left"/>
        <w:textAlignment w:val="auto"/>
        <w:outlineLvl w:val="1"/>
        <w:rPr>
          <w:rFonts w:hint="eastAsia" w:asciiTheme="minorEastAsia" w:hAnsiTheme="minorEastAsia" w:eastAsiaTheme="minorEastAsia" w:cstheme="minorEastAsia"/>
          <w:kern w:val="0"/>
          <w:sz w:val="32"/>
          <w:szCs w:val="32"/>
        </w:rPr>
      </w:pPr>
      <w:bookmarkStart w:id="21" w:name="_Toc15138"/>
      <w:r>
        <w:rPr>
          <w:rFonts w:hint="eastAsia" w:asciiTheme="minorEastAsia" w:hAnsiTheme="minorEastAsia" w:eastAsiaTheme="minorEastAsia" w:cstheme="minorEastAsia"/>
          <w:b/>
          <w:bCs/>
          <w:kern w:val="0"/>
          <w:sz w:val="32"/>
          <w:szCs w:val="32"/>
        </w:rPr>
        <w:t>十四、预算绩效情况说明</w:t>
      </w:r>
      <w:bookmarkEnd w:id="21"/>
    </w:p>
    <w:p w14:paraId="1DDDD084">
      <w:pPr>
        <w:widowControl/>
        <w:spacing w:before="240" w:after="240"/>
        <w:ind w:firstLine="643" w:firstLineChars="200"/>
        <w:rPr>
          <w:rFonts w:hint="eastAsia" w:ascii="Times New Roman" w:hAnsi="Times New Roman" w:eastAsia="仿宋_GB2312" w:cs="fang_song_gb2312"/>
          <w:b/>
          <w:bCs/>
          <w:kern w:val="0"/>
          <w:sz w:val="32"/>
          <w:szCs w:val="32"/>
          <w:lang w:val="en-US" w:eastAsia="zh-CN"/>
        </w:rPr>
      </w:pPr>
      <w:r>
        <w:rPr>
          <w:rFonts w:hint="eastAsia" w:ascii="Times New Roman" w:hAnsi="Times New Roman" w:eastAsia="仿宋_GB2312" w:cs="fang_song_gb2312"/>
          <w:b/>
          <w:bCs/>
          <w:kern w:val="0"/>
          <w:sz w:val="32"/>
          <w:szCs w:val="32"/>
          <w:lang w:val="en-US" w:eastAsia="zh-CN"/>
        </w:rPr>
        <w:t>（一）预算绩效管理工作开展情况。</w:t>
      </w:r>
    </w:p>
    <w:p w14:paraId="0ECDFB90">
      <w:pPr>
        <w:widowControl/>
        <w:spacing w:before="240" w:after="240"/>
        <w:ind w:firstLine="640"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 根据预算绩效管理要求组织对2024年一般公共预算项目支出全面开展绩效自评，其中一级项目</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个，二级项目</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个，共涉及资金</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 xml:space="preserve">万元，占一般公共预算项目支出总额的  </w:t>
      </w:r>
      <w:r>
        <w:rPr>
          <w:rFonts w:hint="eastAsia" w:ascii="Times New Roman" w:hAnsi="Times New Roman" w:eastAsia="仿宋_GB2312" w:cs="fang_song_gb2312"/>
          <w:kern w:val="0"/>
          <w:sz w:val="32"/>
          <w:szCs w:val="32"/>
          <w:u w:val="single"/>
          <w:lang w:val="en-US" w:eastAsia="zh-CN"/>
        </w:rPr>
        <w:t>100  %</w:t>
      </w:r>
      <w:r>
        <w:rPr>
          <w:rFonts w:hint="eastAsia" w:ascii="Times New Roman" w:hAnsi="Times New Roman" w:eastAsia="仿宋_GB2312" w:cs="fang_song_gb2312"/>
          <w:kern w:val="0"/>
          <w:sz w:val="32"/>
          <w:szCs w:val="32"/>
          <w:lang w:val="en-US" w:eastAsia="zh-CN"/>
        </w:rPr>
        <w:t>；政府性基金预算项目</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个，其中，一级项目</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 xml:space="preserve"> 个，二级项目</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u w:val="none"/>
          <w:lang w:val="en-US" w:eastAsia="zh-CN"/>
        </w:rPr>
        <w:t>个</w:t>
      </w:r>
      <w:r>
        <w:rPr>
          <w:rFonts w:hint="eastAsia" w:ascii="Times New Roman" w:hAnsi="Times New Roman" w:eastAsia="仿宋_GB2312" w:cs="fang_song_gb2312"/>
          <w:kern w:val="0"/>
          <w:sz w:val="32"/>
          <w:szCs w:val="32"/>
          <w:lang w:val="en-US" w:eastAsia="zh-CN"/>
        </w:rPr>
        <w:t>，共涉及资金</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万元，占应纳入绩效自评的政府性基金预算项目支出总额的</w:t>
      </w:r>
      <w:r>
        <w:rPr>
          <w:rFonts w:hint="eastAsia" w:ascii="Times New Roman" w:hAnsi="Times New Roman" w:eastAsia="仿宋_GB2312" w:cs="fang_song_gb2312"/>
          <w:kern w:val="0"/>
          <w:sz w:val="32"/>
          <w:szCs w:val="32"/>
          <w:u w:val="single"/>
          <w:lang w:val="en-US" w:eastAsia="zh-CN"/>
        </w:rPr>
        <w:t xml:space="preserve"> 100 %；</w:t>
      </w:r>
    </w:p>
    <w:p w14:paraId="39E7E6F5">
      <w:pPr>
        <w:widowControl/>
        <w:spacing w:before="240" w:after="240"/>
        <w:ind w:firstLine="643" w:firstLineChars="200"/>
        <w:rPr>
          <w:rFonts w:hint="eastAsia" w:ascii="Times New Roman" w:hAnsi="Times New Roman" w:eastAsia="仿宋_GB2312" w:cs="fang_song_gb2312"/>
          <w:b/>
          <w:bCs/>
          <w:kern w:val="0"/>
          <w:sz w:val="32"/>
          <w:szCs w:val="32"/>
          <w:lang w:val="en-US" w:eastAsia="zh-CN"/>
        </w:rPr>
      </w:pPr>
      <w:r>
        <w:rPr>
          <w:rFonts w:hint="eastAsia" w:ascii="Times New Roman" w:hAnsi="Times New Roman" w:eastAsia="仿宋_GB2312" w:cs="fang_song_gb2312"/>
          <w:b/>
          <w:bCs/>
          <w:kern w:val="0"/>
          <w:sz w:val="32"/>
          <w:szCs w:val="32"/>
          <w:lang w:val="en-US" w:eastAsia="zh-CN"/>
        </w:rPr>
        <w:t>（二）单位决算中项目绩效自评结果。</w:t>
      </w:r>
    </w:p>
    <w:p w14:paraId="787A78AC">
      <w:pPr>
        <w:widowControl/>
        <w:spacing w:before="240" w:after="240"/>
        <w:ind w:firstLine="640"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科尔沁左翼中旗政府办公室政务保障中心2024年度在决算中反映</w:t>
      </w:r>
      <w:r>
        <w:rPr>
          <w:rFonts w:hint="eastAsia" w:ascii="Times New Roman" w:hAnsi="Times New Roman" w:eastAsia="仿宋_GB2312" w:cs="fang_song_gb2312"/>
          <w:kern w:val="0"/>
          <w:sz w:val="32"/>
          <w:szCs w:val="32"/>
          <w:u w:val="single"/>
          <w:lang w:val="en-US" w:eastAsia="zh-CN"/>
        </w:rPr>
        <w:t xml:space="preserve">  0</w:t>
      </w:r>
      <w:r>
        <w:rPr>
          <w:rFonts w:hint="eastAsia" w:ascii="Times New Roman" w:hAnsi="Times New Roman" w:eastAsia="仿宋_GB2312" w:cs="fang_song_gb2312"/>
          <w:kern w:val="0"/>
          <w:sz w:val="32"/>
          <w:szCs w:val="32"/>
          <w:lang w:val="en-US" w:eastAsia="zh-CN"/>
        </w:rPr>
        <w:t>个一般公共预算项目，以及</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个政府性基金项目，共</w:t>
      </w:r>
      <w:r>
        <w:rPr>
          <w:rFonts w:hint="eastAsia" w:ascii="Times New Roman" w:hAnsi="Times New Roman" w:eastAsia="仿宋_GB2312" w:cs="fang_song_gb2312"/>
          <w:kern w:val="0"/>
          <w:sz w:val="32"/>
          <w:szCs w:val="32"/>
          <w:u w:val="single"/>
          <w:lang w:val="en-US" w:eastAsia="zh-CN"/>
        </w:rPr>
        <w:t xml:space="preserve">  0  </w:t>
      </w:r>
      <w:r>
        <w:rPr>
          <w:rFonts w:hint="eastAsia" w:ascii="Times New Roman" w:hAnsi="Times New Roman" w:eastAsia="仿宋_GB2312" w:cs="fang_song_gb2312"/>
          <w:kern w:val="0"/>
          <w:sz w:val="32"/>
          <w:szCs w:val="32"/>
          <w:lang w:val="en-US" w:eastAsia="zh-CN"/>
        </w:rPr>
        <w:t>个项目的绩效自评结果。</w:t>
      </w:r>
    </w:p>
    <w:p w14:paraId="17DB0A29">
      <w:pPr>
        <w:widowControl/>
        <w:spacing w:before="240" w:after="240"/>
        <w:ind w:firstLine="643" w:firstLineChars="200"/>
        <w:rPr>
          <w:rFonts w:hint="eastAsia" w:ascii="Times New Roman" w:hAnsi="Times New Roman" w:eastAsia="仿宋_GB2312" w:cs="fang_song_gb2312"/>
          <w:b/>
          <w:bCs/>
          <w:kern w:val="0"/>
          <w:sz w:val="32"/>
          <w:szCs w:val="32"/>
          <w:lang w:val="en-US" w:eastAsia="zh-CN"/>
        </w:rPr>
      </w:pPr>
      <w:r>
        <w:rPr>
          <w:rFonts w:hint="eastAsia" w:ascii="Times New Roman" w:hAnsi="Times New Roman" w:eastAsia="仿宋_GB2312" w:cs="fang_song_gb2312"/>
          <w:b/>
          <w:bCs/>
          <w:kern w:val="0"/>
          <w:sz w:val="32"/>
          <w:szCs w:val="32"/>
          <w:lang w:val="en-US" w:eastAsia="zh-CN"/>
        </w:rPr>
        <w:t>（三）单位项目绩效评价结果。</w:t>
      </w:r>
    </w:p>
    <w:p w14:paraId="4BEAA7B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科尔沁左翼中旗政府办公室政务保障中心</w:t>
      </w:r>
      <w:r>
        <w:rPr>
          <w:rFonts w:hint="default" w:ascii="Times New Roman" w:hAnsi="Times New Roman" w:eastAsia="仿宋" w:cs="Times New Roman"/>
          <w:color w:val="000000"/>
          <w:kern w:val="0"/>
          <w:sz w:val="32"/>
          <w:szCs w:val="32"/>
          <w:lang w:val="en-US" w:eastAsia="zh-CN" w:bidi="ar"/>
        </w:rPr>
        <w:t>2024</w:t>
      </w:r>
      <w:r>
        <w:rPr>
          <w:rFonts w:ascii="仿宋" w:hAnsi="仿宋" w:eastAsia="仿宋" w:cs="仿宋"/>
          <w:color w:val="000000"/>
          <w:kern w:val="0"/>
          <w:sz w:val="32"/>
          <w:szCs w:val="32"/>
          <w:lang w:val="en-US" w:eastAsia="zh-CN" w:bidi="ar"/>
        </w:rPr>
        <w:t>年度未委托第三</w:t>
      </w:r>
      <w:r>
        <w:rPr>
          <w:rFonts w:hint="eastAsia" w:ascii="仿宋" w:hAnsi="仿宋" w:eastAsia="仿宋" w:cs="仿宋"/>
          <w:color w:val="000000"/>
          <w:kern w:val="0"/>
          <w:sz w:val="32"/>
          <w:szCs w:val="32"/>
          <w:lang w:val="en-US" w:eastAsia="zh-CN" w:bidi="ar"/>
        </w:rPr>
        <w:t>方机构开展绩效评价工作</w:t>
      </w:r>
      <w:r>
        <w:rPr>
          <w:rFonts w:hint="eastAsia" w:ascii="宋体" w:hAnsi="宋体" w:eastAsia="宋体" w:cs="宋体"/>
          <w:color w:val="000000"/>
          <w:kern w:val="0"/>
          <w:sz w:val="32"/>
          <w:szCs w:val="32"/>
          <w:lang w:val="en-US" w:eastAsia="zh-CN" w:bidi="ar"/>
        </w:rPr>
        <w:t>。</w:t>
      </w:r>
    </w:p>
    <w:p w14:paraId="4D934AA6">
      <w:pPr>
        <w:pStyle w:val="3"/>
        <w:keepNext w:val="0"/>
        <w:keepLines w:val="0"/>
        <w:widowControl/>
        <w:spacing w:before="299" w:after="299" w:line="240" w:lineRule="auto"/>
        <w:jc w:val="center"/>
        <w:rPr>
          <w:rFonts w:hint="eastAsia" w:asciiTheme="minorEastAsia" w:hAnsiTheme="minorEastAsia" w:eastAsiaTheme="minorEastAsia" w:cstheme="minorEastAsia"/>
          <w:kern w:val="0"/>
          <w:sz w:val="32"/>
          <w:szCs w:val="32"/>
        </w:rPr>
        <w:sectPr>
          <w:pgSz w:w="11906" w:h="16838"/>
          <w:pgMar w:top="1440" w:right="1803" w:bottom="1440" w:left="1803" w:header="0" w:footer="720" w:gutter="0"/>
          <w:pgNumType w:fmt="decimal"/>
          <w:cols w:space="425" w:num="1"/>
          <w:docGrid w:type="lines" w:linePitch="312" w:charSpace="0"/>
        </w:sectPr>
      </w:pPr>
    </w:p>
    <w:p w14:paraId="54BFD3BD">
      <w:pPr>
        <w:pStyle w:val="2"/>
        <w:bidi w:val="0"/>
        <w:jc w:val="center"/>
        <w:rPr>
          <w:rFonts w:hint="eastAsia"/>
          <w:sz w:val="36"/>
          <w:szCs w:val="36"/>
        </w:rPr>
      </w:pPr>
      <w:bookmarkStart w:id="22" w:name="_Toc13607"/>
      <w:bookmarkStart w:id="23" w:name="_Toc19303"/>
      <w:bookmarkStart w:id="24" w:name="_Toc30736"/>
      <w:r>
        <w:rPr>
          <w:rFonts w:hint="eastAsia"/>
          <w:sz w:val="36"/>
          <w:szCs w:val="36"/>
        </w:rPr>
        <w:t>第三部分 名词解释</w:t>
      </w:r>
      <w:bookmarkEnd w:id="22"/>
      <w:bookmarkEnd w:id="23"/>
      <w:bookmarkEnd w:id="24"/>
    </w:p>
    <w:p w14:paraId="42FAC737">
      <w:pPr>
        <w:widowControl/>
        <w:spacing w:before="240" w:after="240"/>
        <w:ind w:firstLine="643"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一、财政拨款收入：</w:t>
      </w:r>
      <w:r>
        <w:rPr>
          <w:rFonts w:hint="eastAsia" w:ascii="Times New Roman" w:hAnsi="Times New Roman" w:eastAsia="仿宋_GB2312" w:cs="fang_song_gb2312"/>
          <w:kern w:val="0"/>
          <w:sz w:val="32"/>
          <w:szCs w:val="32"/>
          <w:lang w:val="en-US" w:eastAsia="zh-CN"/>
        </w:rPr>
        <w:t>从同级财政部门取得的各类财政拨款，包括一般公共预算财政拨款、政府性基金预算财政拨款、国有资本经营预算财政拨款。</w:t>
      </w:r>
    </w:p>
    <w:p w14:paraId="0A57B104">
      <w:pPr>
        <w:widowControl/>
        <w:spacing w:before="240" w:after="240"/>
        <w:ind w:firstLine="643"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二、其他收入：</w:t>
      </w:r>
      <w:r>
        <w:rPr>
          <w:rFonts w:hint="eastAsia" w:ascii="Times New Roman" w:hAnsi="Times New Roman" w:eastAsia="仿宋_GB2312" w:cs="fang_song_gb2312"/>
          <w:kern w:val="0"/>
          <w:sz w:val="32"/>
          <w:szCs w:val="32"/>
          <w:lang w:val="en-US" w:eastAsia="zh-CN"/>
        </w:rPr>
        <w:t>取得的除上述财政拨款收入、上级补助收入、事业收入、经营收入、附属单位上缴收入等以外的各项收入。</w:t>
      </w:r>
    </w:p>
    <w:p w14:paraId="516CAF35">
      <w:pPr>
        <w:widowControl/>
        <w:spacing w:before="240" w:after="240"/>
        <w:ind w:firstLine="643"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三、年初结转和结余：</w:t>
      </w:r>
      <w:r>
        <w:rPr>
          <w:rFonts w:hint="eastAsia" w:ascii="Times New Roman" w:hAnsi="Times New Roman" w:eastAsia="仿宋_GB2312" w:cs="fang_song_gb2312"/>
          <w:kern w:val="0"/>
          <w:sz w:val="32"/>
          <w:szCs w:val="32"/>
          <w:lang w:val="en-US" w:eastAsia="zh-CN"/>
        </w:rPr>
        <w:t>指单位上年结转本年使用的基本支出结转、项目支出结转和结余、经营结余。</w:t>
      </w:r>
    </w:p>
    <w:p w14:paraId="51ED0CDE">
      <w:pPr>
        <w:widowControl/>
        <w:spacing w:before="240" w:after="240"/>
        <w:ind w:firstLine="643"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四、年末结转和结余资金：</w:t>
      </w:r>
      <w:r>
        <w:rPr>
          <w:rFonts w:hint="eastAsia" w:ascii="Times New Roman" w:hAnsi="Times New Roman" w:eastAsia="仿宋_GB2312" w:cs="fang_song_gb2312"/>
          <w:kern w:val="0"/>
          <w:sz w:val="32"/>
          <w:szCs w:val="32"/>
          <w:lang w:val="en-US" w:eastAsia="zh-CN"/>
        </w:rPr>
        <w:t>指单位结转下年的基本支出结转、项目支出结转和结余、经营结余。</w:t>
      </w:r>
    </w:p>
    <w:p w14:paraId="11819E3A">
      <w:pPr>
        <w:widowControl/>
        <w:spacing w:before="240" w:after="240"/>
        <w:ind w:firstLine="643"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五、基本支出：</w:t>
      </w:r>
      <w:r>
        <w:rPr>
          <w:rFonts w:hint="eastAsia" w:ascii="Times New Roman" w:hAnsi="Times New Roman" w:eastAsia="仿宋_GB2312" w:cs="fang_song_gb2312"/>
          <w:kern w:val="0"/>
          <w:sz w:val="32"/>
          <w:szCs w:val="32"/>
          <w:lang w:val="en-US" w:eastAsia="zh-CN"/>
        </w:rPr>
        <w:t>指为保障机构正常运转、完成日常工作任务所发生的支出，包括人员经费和公用经费。</w:t>
      </w:r>
    </w:p>
    <w:p w14:paraId="1B012125">
      <w:pPr>
        <w:widowControl/>
        <w:spacing w:before="240" w:after="240"/>
        <w:ind w:firstLine="643"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b/>
          <w:bCs/>
          <w:kern w:val="0"/>
          <w:sz w:val="32"/>
          <w:szCs w:val="32"/>
          <w:lang w:val="en-US" w:eastAsia="zh-CN"/>
        </w:rPr>
        <w:t>六、“三公”经费：</w:t>
      </w:r>
      <w:r>
        <w:rPr>
          <w:rFonts w:hint="eastAsia" w:ascii="Times New Roman" w:hAnsi="Times New Roman" w:eastAsia="仿宋_GB2312" w:cs="fang_song_gb2312"/>
          <w:kern w:val="0"/>
          <w:sz w:val="32"/>
          <w:szCs w:val="32"/>
          <w:lang w:val="en-US" w:eastAsia="zh-CN"/>
        </w:rPr>
        <w:t>指部门（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819C14B">
      <w:pPr>
        <w:widowControl/>
        <w:spacing w:before="240" w:after="240"/>
        <w:ind w:firstLine="640"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      </w:t>
      </w:r>
    </w:p>
    <w:p w14:paraId="290370B4">
      <w:pPr>
        <w:widowControl/>
        <w:spacing w:before="240" w:after="240"/>
        <w:ind w:firstLine="640" w:firstLineChars="200"/>
        <w:rPr>
          <w:rFonts w:hint="eastAsia" w:ascii="Times New Roman" w:hAnsi="Times New Roman" w:eastAsia="仿宋_GB2312" w:cs="fang_song_gb2312"/>
          <w:kern w:val="0"/>
          <w:sz w:val="32"/>
          <w:szCs w:val="32"/>
          <w:lang w:val="en-US" w:eastAsia="zh-CN"/>
        </w:rPr>
      </w:pPr>
    </w:p>
    <w:p w14:paraId="1FABA1DF">
      <w:pPr>
        <w:widowControl/>
        <w:spacing w:before="240" w:after="240"/>
        <w:ind w:firstLine="640" w:firstLineChars="200"/>
        <w:rPr>
          <w:rFonts w:hint="eastAsia" w:ascii="Times New Roman" w:hAnsi="Times New Roman" w:eastAsia="仿宋_GB2312" w:cs="fang_song_gb2312"/>
          <w:kern w:val="0"/>
          <w:sz w:val="32"/>
          <w:szCs w:val="32"/>
          <w:lang w:val="en-US" w:eastAsia="zh-CN"/>
        </w:rPr>
        <w:sectPr>
          <w:pgSz w:w="11906" w:h="16838"/>
          <w:pgMar w:top="1440" w:right="1803" w:bottom="1440" w:left="1803" w:header="0" w:footer="720" w:gutter="0"/>
          <w:pgNumType w:fmt="decimal"/>
          <w:cols w:space="425" w:num="1"/>
          <w:docGrid w:type="lines" w:linePitch="312" w:charSpace="0"/>
        </w:sectPr>
      </w:pPr>
    </w:p>
    <w:p w14:paraId="0C5B2FD5">
      <w:pPr>
        <w:pStyle w:val="2"/>
        <w:keepNext w:val="0"/>
        <w:keepLines w:val="0"/>
        <w:widowControl/>
        <w:spacing w:before="299" w:after="299" w:line="240" w:lineRule="auto"/>
        <w:jc w:val="center"/>
        <w:outlineLvl w:val="0"/>
        <w:rPr>
          <w:rFonts w:hint="eastAsia" w:asciiTheme="minorEastAsia" w:hAnsiTheme="minorEastAsia" w:eastAsiaTheme="minorEastAsia" w:cstheme="minorEastAsia"/>
          <w:b/>
          <w:bCs/>
          <w:kern w:val="0"/>
          <w:sz w:val="36"/>
          <w:szCs w:val="36"/>
        </w:rPr>
      </w:pPr>
      <w:bookmarkStart w:id="25" w:name="_Toc7844"/>
      <w:bookmarkStart w:id="26" w:name="_Toc6920"/>
      <w:bookmarkStart w:id="27" w:name="_Toc19972"/>
      <w:r>
        <w:rPr>
          <w:rFonts w:hint="eastAsia" w:asciiTheme="minorEastAsia" w:hAnsiTheme="minorEastAsia" w:eastAsiaTheme="minorEastAsia" w:cstheme="minorEastAsia"/>
          <w:kern w:val="0"/>
          <w:sz w:val="36"/>
          <w:szCs w:val="36"/>
        </w:rPr>
        <w:t>第四部分 决算公开联系方式及信息反馈渠道</w:t>
      </w:r>
      <w:bookmarkEnd w:id="25"/>
      <w:bookmarkEnd w:id="26"/>
      <w:bookmarkEnd w:id="27"/>
    </w:p>
    <w:p w14:paraId="3C095A46">
      <w:pPr>
        <w:widowControl/>
        <w:spacing w:before="240" w:after="240"/>
        <w:jc w:val="left"/>
        <w:rPr>
          <w:rFonts w:hint="eastAsia" w:asciiTheme="minorEastAsia" w:hAnsiTheme="minorEastAsia" w:eastAsiaTheme="minorEastAsia" w:cstheme="minorEastAsia"/>
          <w:kern w:val="0"/>
          <w:sz w:val="24"/>
        </w:rPr>
      </w:pPr>
    </w:p>
    <w:p w14:paraId="6912B021">
      <w:pPr>
        <w:widowControl/>
        <w:spacing w:before="240" w:after="240"/>
        <w:ind w:firstLine="540" w:firstLineChars="200"/>
        <w:rPr>
          <w:rFonts w:hint="eastAsia" w:ascii="Times New Roman" w:hAnsi="Times New Roman" w:eastAsia="仿宋_GB2312" w:cs="fang_song_gb2312"/>
          <w:kern w:val="0"/>
          <w:sz w:val="32"/>
          <w:szCs w:val="32"/>
          <w:lang w:val="en-US" w:eastAsia="zh-CN"/>
        </w:rPr>
      </w:pPr>
      <w:r>
        <w:rPr>
          <w:rFonts w:hint="eastAsia" w:asciiTheme="minorEastAsia" w:hAnsiTheme="minorEastAsia" w:eastAsiaTheme="minorEastAsia" w:cstheme="minorEastAsia"/>
          <w:kern w:val="0"/>
          <w:sz w:val="27"/>
          <w:szCs w:val="27"/>
        </w:rPr>
        <w:t>   </w:t>
      </w:r>
      <w:r>
        <w:rPr>
          <w:rFonts w:hint="eastAsia" w:ascii="仿宋" w:hAnsi="仿宋" w:eastAsia="仿宋" w:cs="仿宋"/>
          <w:color w:val="000000"/>
          <w:kern w:val="0"/>
          <w:sz w:val="32"/>
          <w:szCs w:val="32"/>
          <w:lang w:val="en-US" w:eastAsia="zh-CN" w:bidi="ar"/>
        </w:rPr>
        <w:t xml:space="preserve"> </w:t>
      </w:r>
      <w:r>
        <w:rPr>
          <w:rFonts w:hint="eastAsia" w:ascii="Times New Roman" w:hAnsi="Times New Roman" w:eastAsia="仿宋_GB2312" w:cs="fang_song_gb2312"/>
          <w:kern w:val="0"/>
          <w:sz w:val="32"/>
          <w:szCs w:val="32"/>
          <w:lang w:val="en-US" w:eastAsia="zh-CN"/>
        </w:rPr>
        <w:t>本单位决算公开信息反馈和联系方式：</w:t>
      </w:r>
    </w:p>
    <w:p w14:paraId="473283D6">
      <w:pPr>
        <w:widowControl/>
        <w:spacing w:before="240" w:after="240"/>
        <w:ind w:firstLine="640" w:firstLineChars="200"/>
        <w:rPr>
          <w:rFonts w:hint="eastAsia" w:ascii="Times New Roman" w:hAnsi="Times New Roman" w:eastAsia="仿宋_GB2312" w:cs="fang_song_gb2312"/>
          <w:kern w:val="0"/>
          <w:sz w:val="32"/>
          <w:szCs w:val="32"/>
          <w:lang w:val="en-US" w:eastAsia="zh-CN"/>
        </w:rPr>
      </w:pPr>
      <w:r>
        <w:rPr>
          <w:rFonts w:hint="eastAsia" w:ascii="Times New Roman" w:hAnsi="Times New Roman" w:eastAsia="仿宋_GB2312" w:cs="fang_song_gb2312"/>
          <w:kern w:val="0"/>
          <w:sz w:val="32"/>
          <w:szCs w:val="32"/>
          <w:lang w:val="en-US" w:eastAsia="zh-CN"/>
        </w:rPr>
        <w:t xml:space="preserve">    </w:t>
      </w:r>
    </w:p>
    <w:p w14:paraId="01C4EC94">
      <w:pPr>
        <w:widowControl/>
        <w:spacing w:before="240" w:after="240"/>
        <w:ind w:firstLine="640" w:firstLineChars="200"/>
        <w:rPr>
          <w:rFonts w:hint="default" w:ascii="Times New Roman" w:hAnsi="Times New Roman" w:cs="Times New Roman" w:eastAsiaTheme="minorEastAsia"/>
          <w:kern w:val="0"/>
          <w:sz w:val="32"/>
          <w:szCs w:val="32"/>
        </w:rPr>
      </w:pPr>
      <w:r>
        <w:rPr>
          <w:rFonts w:hint="eastAsia" w:ascii="Times New Roman" w:hAnsi="Times New Roman" w:eastAsia="仿宋_GB2312" w:cs="fang_song_gb2312"/>
          <w:kern w:val="0"/>
          <w:sz w:val="32"/>
          <w:szCs w:val="32"/>
          <w:lang w:val="en-US" w:eastAsia="zh-CN"/>
        </w:rPr>
        <w:t>联系人： 齐乌兰      联系电话：</w:t>
      </w:r>
      <w:r>
        <w:rPr>
          <w:rFonts w:hint="default" w:ascii="Times New Roman" w:hAnsi="Times New Roman" w:cs="Times New Roman" w:eastAsiaTheme="minorEastAsia"/>
          <w:kern w:val="0"/>
          <w:sz w:val="32"/>
          <w:szCs w:val="32"/>
          <w:u w:val="single"/>
        </w:rPr>
        <w:t>0475-3219346</w:t>
      </w:r>
    </w:p>
    <w:p w14:paraId="75F5DBD6">
      <w:pPr>
        <w:widowControl/>
        <w:spacing w:before="240" w:after="240"/>
        <w:jc w:val="left"/>
        <w:outlineLvl w:val="9"/>
        <w:rPr>
          <w:rFonts w:hint="eastAsia" w:asciiTheme="minorEastAsia" w:hAnsiTheme="minorEastAsia" w:eastAsiaTheme="minorEastAsia" w:cstheme="minorEastAsia"/>
          <w:kern w:val="0"/>
          <w:sz w:val="24"/>
        </w:rPr>
      </w:pPr>
    </w:p>
    <w:p w14:paraId="2857539C">
      <w:pPr>
        <w:keepNext w:val="0"/>
        <w:keepLines w:val="0"/>
        <w:widowControl/>
        <w:spacing w:before="299" w:after="299" w:line="240" w:lineRule="auto"/>
        <w:jc w:val="center"/>
        <w:outlineLvl w:val="9"/>
        <w:rPr>
          <w:rFonts w:hint="eastAsia" w:asciiTheme="minorEastAsia" w:hAnsiTheme="minorEastAsia" w:eastAsiaTheme="minorEastAsia" w:cstheme="minorEastAsia"/>
          <w:kern w:val="0"/>
          <w:sz w:val="36"/>
          <w:szCs w:val="36"/>
        </w:rPr>
      </w:pPr>
    </w:p>
    <w:p w14:paraId="62A8AE11">
      <w:pPr>
        <w:keepNext w:val="0"/>
        <w:keepLines w:val="0"/>
        <w:widowControl/>
        <w:spacing w:before="299" w:after="299" w:line="240" w:lineRule="auto"/>
        <w:jc w:val="center"/>
        <w:outlineLvl w:val="9"/>
        <w:rPr>
          <w:rFonts w:hint="eastAsia" w:asciiTheme="minorEastAsia" w:hAnsiTheme="minorEastAsia" w:eastAsiaTheme="minorEastAsia" w:cstheme="minorEastAsia"/>
          <w:kern w:val="0"/>
          <w:sz w:val="36"/>
          <w:szCs w:val="36"/>
        </w:rPr>
      </w:pPr>
    </w:p>
    <w:p w14:paraId="4F47B984">
      <w:pPr>
        <w:keepNext w:val="0"/>
        <w:keepLines w:val="0"/>
        <w:widowControl/>
        <w:spacing w:before="299" w:after="299" w:line="240" w:lineRule="auto"/>
        <w:jc w:val="center"/>
        <w:outlineLvl w:val="9"/>
        <w:rPr>
          <w:rFonts w:hint="eastAsia" w:asciiTheme="minorEastAsia" w:hAnsiTheme="minorEastAsia" w:eastAsiaTheme="minorEastAsia" w:cstheme="minorEastAsia"/>
          <w:kern w:val="0"/>
          <w:sz w:val="36"/>
          <w:szCs w:val="36"/>
        </w:rPr>
      </w:pPr>
    </w:p>
    <w:p w14:paraId="58C2B07C">
      <w:pPr>
        <w:pStyle w:val="2"/>
        <w:keepNext w:val="0"/>
        <w:keepLines w:val="0"/>
        <w:widowControl/>
        <w:spacing w:before="299" w:after="299" w:line="240" w:lineRule="auto"/>
        <w:jc w:val="center"/>
        <w:outlineLvl w:val="0"/>
        <w:rPr>
          <w:rFonts w:hint="eastAsia" w:asciiTheme="minorEastAsia" w:hAnsiTheme="minorEastAsia" w:eastAsiaTheme="minorEastAsia" w:cstheme="minorEastAsia"/>
          <w:b/>
          <w:bCs/>
          <w:kern w:val="0"/>
          <w:sz w:val="36"/>
          <w:szCs w:val="36"/>
        </w:rPr>
      </w:pPr>
      <w:bookmarkStart w:id="28" w:name="_Toc6983"/>
      <w:bookmarkStart w:id="29" w:name="_Toc25074"/>
      <w:bookmarkStart w:id="30" w:name="_Toc30307"/>
      <w:r>
        <w:rPr>
          <w:rFonts w:hint="eastAsia" w:asciiTheme="minorEastAsia" w:hAnsiTheme="minorEastAsia" w:eastAsiaTheme="minorEastAsia" w:cstheme="minorEastAsia"/>
          <w:kern w:val="0"/>
          <w:sz w:val="36"/>
          <w:szCs w:val="36"/>
        </w:rPr>
        <w:t>第五部分 单位决算表</w:t>
      </w:r>
      <w:bookmarkEnd w:id="28"/>
      <w:bookmarkEnd w:id="29"/>
      <w:bookmarkEnd w:id="30"/>
    </w:p>
    <w:p w14:paraId="687A3E43">
      <w:pPr>
        <w:widowControl/>
        <w:spacing w:before="240" w:after="240"/>
        <w:jc w:val="center"/>
        <w:rPr>
          <w:rFonts w:hint="eastAsia" w:asciiTheme="minorEastAsia" w:hAnsiTheme="minorEastAsia" w:eastAsiaTheme="minorEastAsia" w:cstheme="minorEastAsia"/>
          <w:kern w:val="0"/>
          <w:sz w:val="24"/>
        </w:rPr>
      </w:pPr>
    </w:p>
    <w:p w14:paraId="7D1BC76F">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Theme="minorEastAsia" w:hAnsiTheme="minorEastAsia" w:eastAsiaTheme="minorEastAsia" w:cstheme="minorEastAsia"/>
          <w:kern w:val="0"/>
          <w:sz w:val="24"/>
        </w:rPr>
      </w:pPr>
      <w:r>
        <w:rPr>
          <w:rFonts w:hint="eastAsia" w:ascii="Times New Roman" w:hAnsi="Times New Roman" w:eastAsia="仿宋_GB2312" w:cs="fang_song_gb2312"/>
          <w:kern w:val="0"/>
          <w:sz w:val="32"/>
          <w:szCs w:val="32"/>
          <w:lang w:val="en-US" w:eastAsia="zh-CN"/>
        </w:rPr>
        <w:t>见附件</w:t>
      </w:r>
      <w:r>
        <w:rPr>
          <w:rFonts w:hint="eastAsia" w:ascii="仿宋" w:hAnsi="仿宋" w:eastAsia="仿宋" w:cs="仿宋"/>
          <w:color w:val="000000"/>
          <w:kern w:val="0"/>
          <w:sz w:val="32"/>
          <w:szCs w:val="32"/>
          <w:lang w:val="en-US" w:eastAsia="zh-CN" w:bidi="ar"/>
        </w:rPr>
        <w:t>。</w:t>
      </w:r>
    </w:p>
    <w:p w14:paraId="5C6D58A3">
      <w:pPr>
        <w:widowControl/>
        <w:spacing w:before="240" w:after="240"/>
        <w:jc w:val="left"/>
        <w:rPr>
          <w:rFonts w:hint="eastAsia" w:asciiTheme="minorEastAsia" w:hAnsiTheme="minorEastAsia" w:eastAsiaTheme="minorEastAsia" w:cstheme="minorEastAsia"/>
          <w:kern w:val="0"/>
          <w:sz w:val="24"/>
        </w:rPr>
      </w:pPr>
    </w:p>
    <w:p w14:paraId="04EE2234">
      <w:pPr>
        <w:widowControl/>
        <w:spacing w:before="240" w:after="240"/>
        <w:jc w:val="left"/>
        <w:rPr>
          <w:rFonts w:hint="eastAsia" w:asciiTheme="minorEastAsia" w:hAnsiTheme="minorEastAsia" w:eastAsiaTheme="minorEastAsia" w:cstheme="minorEastAsia"/>
          <w:kern w:val="0"/>
          <w:sz w:val="24"/>
        </w:rPr>
      </w:pPr>
    </w:p>
    <w:p w14:paraId="3B877EC8">
      <w:pPr>
        <w:widowControl/>
        <w:spacing w:before="240" w:after="240"/>
        <w:jc w:val="left"/>
        <w:rPr>
          <w:rFonts w:hint="eastAsia" w:asciiTheme="minorEastAsia" w:hAnsiTheme="minorEastAsia" w:eastAsiaTheme="minorEastAsia" w:cstheme="minorEastAsia"/>
          <w:kern w:val="0"/>
          <w:sz w:val="24"/>
        </w:rPr>
      </w:pPr>
    </w:p>
    <w:p w14:paraId="7EDDE419">
      <w:pPr>
        <w:widowControl/>
        <w:spacing w:before="240" w:after="240"/>
        <w:jc w:val="left"/>
        <w:rPr>
          <w:rFonts w:hint="eastAsia" w:asciiTheme="minorEastAsia" w:hAnsiTheme="minorEastAsia" w:eastAsiaTheme="minorEastAsia" w:cstheme="minorEastAsia"/>
          <w:kern w:val="0"/>
          <w:sz w:val="24"/>
        </w:rPr>
      </w:pPr>
    </w:p>
    <w:p w14:paraId="49D1AD2D">
      <w:pPr>
        <w:adjustRightInd w:val="0"/>
        <w:snapToGrid w:val="0"/>
        <w:rPr>
          <w:rFonts w:hint="eastAsia" w:asciiTheme="minorEastAsia" w:hAnsiTheme="minorEastAsia" w:eastAsiaTheme="minorEastAsia" w:cstheme="minorEastAsia"/>
          <w:b/>
          <w:sz w:val="32"/>
          <w:szCs w:val="32"/>
        </w:rPr>
      </w:pPr>
    </w:p>
    <w:p w14:paraId="1E92EB2A">
      <w:pPr>
        <w:adjustRightInd w:val="0"/>
        <w:snapToGrid w:val="0"/>
        <w:rPr>
          <w:rFonts w:hint="eastAsia" w:asciiTheme="minorEastAsia" w:hAnsiTheme="minorEastAsia" w:eastAsiaTheme="minorEastAsia" w:cstheme="minorEastAsia"/>
          <w:b/>
          <w:sz w:val="32"/>
          <w:szCs w:val="32"/>
        </w:rPr>
      </w:pPr>
    </w:p>
    <w:p w14:paraId="078BBF54">
      <w:pPr>
        <w:tabs>
          <w:tab w:val="left" w:pos="8415"/>
        </w:tabs>
        <w:rPr>
          <w:rFonts w:hint="eastAsia" w:asciiTheme="minorEastAsia" w:hAnsiTheme="minorEastAsia" w:eastAsiaTheme="minorEastAsia" w:cstheme="minorEastAsia"/>
        </w:rPr>
      </w:pPr>
    </w:p>
    <w:sectPr>
      <w:pgSz w:w="11906" w:h="16838"/>
      <w:pgMar w:top="1440" w:right="1803" w:bottom="1440" w:left="1803" w:header="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fang_song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DC1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CD5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DAF6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9DAF6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3C46E81"/>
    <w:rsid w:val="04365BBB"/>
    <w:rsid w:val="05C22EF8"/>
    <w:rsid w:val="079944E0"/>
    <w:rsid w:val="0AAB4B68"/>
    <w:rsid w:val="0B257616"/>
    <w:rsid w:val="0B9D19A7"/>
    <w:rsid w:val="0BAD4B93"/>
    <w:rsid w:val="0C005A20"/>
    <w:rsid w:val="0F3B750B"/>
    <w:rsid w:val="0F7D64E9"/>
    <w:rsid w:val="10974E8B"/>
    <w:rsid w:val="12ED5236"/>
    <w:rsid w:val="135C4447"/>
    <w:rsid w:val="13883F6A"/>
    <w:rsid w:val="14325923"/>
    <w:rsid w:val="15503136"/>
    <w:rsid w:val="18350AEA"/>
    <w:rsid w:val="19311BF4"/>
    <w:rsid w:val="1A7A5CC4"/>
    <w:rsid w:val="1CC80EC6"/>
    <w:rsid w:val="1D353A79"/>
    <w:rsid w:val="1E133B91"/>
    <w:rsid w:val="1FB63BFF"/>
    <w:rsid w:val="222668CA"/>
    <w:rsid w:val="238B2153"/>
    <w:rsid w:val="264207DC"/>
    <w:rsid w:val="26CF2A30"/>
    <w:rsid w:val="2C8868DA"/>
    <w:rsid w:val="2F606C2A"/>
    <w:rsid w:val="2FA97A2C"/>
    <w:rsid w:val="2FC31E85"/>
    <w:rsid w:val="31C42B44"/>
    <w:rsid w:val="342A679F"/>
    <w:rsid w:val="362A71FA"/>
    <w:rsid w:val="37831363"/>
    <w:rsid w:val="388512BA"/>
    <w:rsid w:val="394E23B3"/>
    <w:rsid w:val="3C6F6094"/>
    <w:rsid w:val="40272050"/>
    <w:rsid w:val="41625EC1"/>
    <w:rsid w:val="41B44753"/>
    <w:rsid w:val="428418E8"/>
    <w:rsid w:val="4315455A"/>
    <w:rsid w:val="442A14B6"/>
    <w:rsid w:val="44BC7116"/>
    <w:rsid w:val="46B56AE4"/>
    <w:rsid w:val="47F44609"/>
    <w:rsid w:val="48A15B89"/>
    <w:rsid w:val="48A16B59"/>
    <w:rsid w:val="4BAD409E"/>
    <w:rsid w:val="4BF07CEA"/>
    <w:rsid w:val="4C2505E2"/>
    <w:rsid w:val="4CCA4AE8"/>
    <w:rsid w:val="50410383"/>
    <w:rsid w:val="51CD438B"/>
    <w:rsid w:val="52527448"/>
    <w:rsid w:val="566703F7"/>
    <w:rsid w:val="57AA6A83"/>
    <w:rsid w:val="59C86EF4"/>
    <w:rsid w:val="5A595C93"/>
    <w:rsid w:val="5BFE0592"/>
    <w:rsid w:val="5C3B0A83"/>
    <w:rsid w:val="5E051D5E"/>
    <w:rsid w:val="5E330E89"/>
    <w:rsid w:val="5E8927B7"/>
    <w:rsid w:val="5F226EE2"/>
    <w:rsid w:val="5F7F6601"/>
    <w:rsid w:val="604E0ECF"/>
    <w:rsid w:val="62FA79BF"/>
    <w:rsid w:val="632A0F85"/>
    <w:rsid w:val="63D931E6"/>
    <w:rsid w:val="6537332C"/>
    <w:rsid w:val="67496E1C"/>
    <w:rsid w:val="675A1589"/>
    <w:rsid w:val="68AB0476"/>
    <w:rsid w:val="68CF6880"/>
    <w:rsid w:val="6918177A"/>
    <w:rsid w:val="6AC7360B"/>
    <w:rsid w:val="6D6232A0"/>
    <w:rsid w:val="6DEE6785"/>
    <w:rsid w:val="6EA83D65"/>
    <w:rsid w:val="6FFB3D1D"/>
    <w:rsid w:val="704D5AE9"/>
    <w:rsid w:val="735B38DE"/>
    <w:rsid w:val="746639C6"/>
    <w:rsid w:val="74A179C9"/>
    <w:rsid w:val="74A40E40"/>
    <w:rsid w:val="74BE4517"/>
    <w:rsid w:val="74FB6D96"/>
    <w:rsid w:val="767A06E3"/>
    <w:rsid w:val="78EC1099"/>
    <w:rsid w:val="7A9F6ED2"/>
    <w:rsid w:val="7E034752"/>
    <w:rsid w:val="7F30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qFormat/>
    <w:uiPriority w:val="0"/>
    <w:pPr>
      <w:ind w:left="630"/>
      <w:jc w:val="left"/>
    </w:pPr>
    <w:rPr>
      <w:sz w:val="20"/>
      <w:szCs w:val="20"/>
    </w:rPr>
  </w:style>
  <w:style w:type="paragraph" w:styleId="15">
    <w:name w:val="toc 6"/>
    <w:basedOn w:val="1"/>
    <w:next w:val="1"/>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320125634211162"/>
          <c:y val="0.0920101997450064"/>
          <c:w val="0.956752838849964"/>
          <c:h val="0.489587760305992"/>
        </c:manualLayout>
      </c:layout>
      <c:pie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1"/>
              </a:solidFill>
              <a:ln w="19050">
                <a:solidFill>
                  <a:schemeClr val="bg1"/>
                </a:solidFill>
              </a:ln>
              <a:effectLst/>
              <a:scene3d>
                <a:camera prst="orthographicFront"/>
                <a:lightRig rig="threePt" dir="t"/>
              </a:scene3d>
              <a:sp3d contourW="9525"/>
            </c:spPr>
          </c:dPt>
          <c:dPt>
            <c:idx val="1"/>
            <c:bubble3D val="0"/>
            <c:spPr>
              <a:solidFill>
                <a:schemeClr val="accent2"/>
              </a:solidFill>
              <a:ln w="19050">
                <a:solidFill>
                  <a:schemeClr val="bg1"/>
                </a:solidFill>
              </a:ln>
              <a:effectLst/>
              <a:scene3d>
                <a:camera prst="orthographicFront"/>
                <a:lightRig rig="threePt" dir="t"/>
              </a:scene3d>
              <a:sp3d contourW="9525"/>
            </c:spPr>
          </c:dPt>
          <c:dPt>
            <c:idx val="2"/>
            <c:bubble3D val="0"/>
            <c:spPr>
              <a:solidFill>
                <a:schemeClr val="accent3"/>
              </a:solidFill>
              <a:ln w="19050">
                <a:solidFill>
                  <a:schemeClr val="bg1"/>
                </a:solidFill>
              </a:ln>
              <a:effectLst/>
              <a:scene3d>
                <a:camera prst="orthographicFront"/>
                <a:lightRig rig="threePt" dir="t"/>
              </a:scene3d>
              <a:sp3d contourW="9525"/>
            </c:spPr>
          </c:dPt>
          <c:dPt>
            <c:idx val="3"/>
            <c:bubble3D val="0"/>
            <c:spPr>
              <a:solidFill>
                <a:schemeClr val="accent4"/>
              </a:solidFill>
              <a:ln w="19050">
                <a:solidFill>
                  <a:schemeClr val="bg1"/>
                </a:solidFill>
              </a:ln>
              <a:effectLst/>
              <a:scene3d>
                <a:camera prst="orthographicFront"/>
                <a:lightRig rig="threePt" dir="t"/>
              </a:scene3d>
              <a:sp3d contourW="9525"/>
            </c:spPr>
          </c:dPt>
          <c:dPt>
            <c:idx val="4"/>
            <c:bubble3D val="0"/>
            <c:spPr>
              <a:solidFill>
                <a:schemeClr val="accent5"/>
              </a:solidFill>
              <a:ln w="19050">
                <a:solidFill>
                  <a:schemeClr val="bg1"/>
                </a:solidFill>
              </a:ln>
              <a:effectLst/>
              <a:scene3d>
                <a:camera prst="orthographicFront"/>
                <a:lightRig rig="threePt" dir="t"/>
              </a:scene3d>
              <a:sp3d contourW="9525"/>
            </c:spPr>
          </c:dPt>
          <c:dPt>
            <c:idx val="5"/>
            <c:bubble3D val="0"/>
            <c:spPr>
              <a:solidFill>
                <a:schemeClr val="accent6"/>
              </a:solidFill>
              <a:ln w="19050">
                <a:solidFill>
                  <a:schemeClr val="bg1"/>
                </a:solidFill>
              </a:ln>
              <a:effectLst/>
              <a:scene3d>
                <a:camera prst="orthographicFront"/>
                <a:lightRig rig="threePt" dir="t"/>
              </a:scene3d>
              <a:sp3d contourW="9525"/>
            </c:spPr>
          </c:dPt>
          <c:dPt>
            <c:idx val="6"/>
            <c:bubble3D val="0"/>
            <c:spPr>
              <a:solidFill>
                <a:schemeClr val="accent1">
                  <a:lumMod val="60000"/>
                </a:schemeClr>
              </a:solidFill>
              <a:ln w="19050">
                <a:solidFill>
                  <a:schemeClr val="bg1"/>
                </a:solidFill>
              </a:ln>
              <a:effectLst/>
              <a:scene3d>
                <a:camera prst="orthographicFront"/>
                <a:lightRig rig="threePt" dir="t"/>
              </a:scene3d>
              <a:sp3d contourW="9525"/>
            </c:spPr>
          </c:dPt>
          <c:dPt>
            <c:idx val="7"/>
            <c:bubble3D val="0"/>
            <c:spPr>
              <a:solidFill>
                <a:schemeClr val="accent2">
                  <a:lumMod val="60000"/>
                </a:schemeClr>
              </a:solidFill>
              <a:ln w="19050">
                <a:solidFill>
                  <a:schemeClr val="bg1"/>
                </a:solidFill>
              </a:ln>
              <a:effectLst/>
              <a:scene3d>
                <a:camera prst="orthographicFront"/>
                <a:lightRig rig="threePt" dir="t"/>
              </a:scene3d>
              <a:sp3d contourW="9525"/>
            </c:spPr>
          </c:dPt>
          <c:dLbls>
            <c:delete val="1"/>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233.86</c:v>
                </c:pt>
                <c:pt idx="1">
                  <c:v>0</c:v>
                </c:pt>
                <c:pt idx="2">
                  <c:v>0</c:v>
                </c:pt>
                <c:pt idx="3">
                  <c:v>0</c:v>
                </c:pt>
                <c:pt idx="4">
                  <c:v>0</c:v>
                </c:pt>
                <c:pt idx="5">
                  <c:v>0</c:v>
                </c:pt>
                <c:pt idx="6">
                  <c:v>0</c:v>
                </c:pt>
                <c:pt idx="7" c:formatCode="0.00_ ">
                  <c:v>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0551963601532567"/>
          <c:y val="0.629765395894428"/>
          <c:w val="0.930316091954023"/>
          <c:h val="0.36290322580645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83570910848"/>
          <c:y val="0.117934551636209"/>
          <c:w val="0.764677458323267"/>
          <c:h val="0.490437739056524"/>
        </c:manualLayout>
      </c:layout>
      <c:pie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1"/>
              </a:solidFill>
              <a:ln w="19050">
                <a:solidFill>
                  <a:schemeClr val="bg1"/>
                </a:solidFill>
              </a:ln>
              <a:effectLst/>
              <a:scene3d>
                <a:camera prst="orthographicFront"/>
                <a:lightRig rig="threePt" dir="t"/>
              </a:scene3d>
              <a:sp3d contourW="9525"/>
            </c:spPr>
          </c:dPt>
          <c:dPt>
            <c:idx val="1"/>
            <c:bubble3D val="0"/>
            <c:spPr>
              <a:solidFill>
                <a:schemeClr val="accent2"/>
              </a:solidFill>
              <a:ln w="19050">
                <a:solidFill>
                  <a:schemeClr val="bg1"/>
                </a:solidFill>
              </a:ln>
              <a:effectLst/>
              <a:scene3d>
                <a:camera prst="orthographicFront"/>
                <a:lightRig rig="threePt" dir="t"/>
              </a:scene3d>
              <a:sp3d contourW="9525"/>
            </c:spPr>
          </c:dPt>
          <c:dPt>
            <c:idx val="2"/>
            <c:bubble3D val="0"/>
            <c:spPr>
              <a:solidFill>
                <a:schemeClr val="accent3"/>
              </a:solidFill>
              <a:ln w="19050">
                <a:solidFill>
                  <a:schemeClr val="bg1"/>
                </a:solidFill>
              </a:ln>
              <a:effectLst/>
              <a:scene3d>
                <a:camera prst="orthographicFront"/>
                <a:lightRig rig="threePt" dir="t"/>
              </a:scene3d>
              <a:sp3d contourW="9525"/>
            </c:spPr>
          </c:dPt>
          <c:dPt>
            <c:idx val="3"/>
            <c:bubble3D val="0"/>
            <c:spPr>
              <a:solidFill>
                <a:schemeClr val="accent4"/>
              </a:solidFill>
              <a:ln w="19050">
                <a:solidFill>
                  <a:schemeClr val="bg1"/>
                </a:solidFill>
              </a:ln>
              <a:effectLst/>
              <a:scene3d>
                <a:camera prst="orthographicFront"/>
                <a:lightRig rig="threePt" dir="t"/>
              </a:scene3d>
              <a:sp3d contourW="9525"/>
            </c:spPr>
          </c:dPt>
          <c:dPt>
            <c:idx val="4"/>
            <c:bubble3D val="0"/>
            <c:spPr>
              <a:solidFill>
                <a:schemeClr val="accent5"/>
              </a:solidFill>
              <a:ln w="19050">
                <a:solidFill>
                  <a:schemeClr val="bg1"/>
                </a:solidFill>
              </a:ln>
              <a:effectLst/>
              <a:scene3d>
                <a:camera prst="orthographicFront"/>
                <a:lightRig rig="threePt" dir="t"/>
              </a:scene3d>
              <a:sp3d contourW="9525"/>
            </c:spPr>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233.86</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0.101715390190867"/>
          <c:y val="0.755418614534637"/>
          <c:w val="0.846218893452525"/>
          <c:h val="0.13663408414789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5051</Words>
  <Characters>5465</Characters>
  <Lines>1</Lines>
  <Paragraphs>1</Paragraphs>
  <TotalTime>11</TotalTime>
  <ScaleCrop>false</ScaleCrop>
  <LinksUpToDate>false</LinksUpToDate>
  <CharactersWithSpaces>6054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2025-07-24T07:31:00Z</cp:lastPrinted>
  <dcterms:modified xsi:type="dcterms:W3CDTF">2025-12-30T09:09:47Z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5B1B15EF0CA04F8EA15AB33438248684</vt:lpwstr>
  </property>
  <property fmtid="{D5CDD505-2E9C-101B-9397-08002B2CF9AE}" pid="3" name="KSOProductBuildVer">
    <vt:lpwstr>2052-12.8.2.18205</vt:lpwstr>
  </property>
  <property fmtid="{D5CDD505-2E9C-101B-9397-08002B2CF9AE}" pid="4" name="KSOTemplateDocerSaveRecord">
    <vt:lpwstr>eyJoZGlkIjoiMWEzM2JmODViOGJiNjFlOWRlMTZiOTU1N2M5NGM4NjYiLCJ1c2VySWQiOiIzMjc1OTI4NzIifQ==</vt:lpwstr>
  </property>
</Properties>
</file>