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5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科左中旗人民检察院党支部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2025年度</w:t>
      </w:r>
    </w:p>
    <w:p w14:paraId="59EF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党建工作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总结</w:t>
      </w:r>
    </w:p>
    <w:p w14:paraId="4DCE8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21DB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根据上级党委部署要求，现将科左中旗人民检察院党支部2025年度党建工作报告如下：</w:t>
      </w:r>
    </w:p>
    <w:p w14:paraId="47798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一、本年度重点工作完成情况</w:t>
      </w:r>
    </w:p>
    <w:p w14:paraId="2A35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（一）聚焦政治铸魂，把稳思想建设“方向盘”</w:t>
      </w:r>
    </w:p>
    <w:p w14:paraId="089BE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坚持将政治建设摆在首位，严格执行“第一议题”制度，通过理论学习中心组学习、专题研讨等，组织党员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</w:t>
      </w:r>
      <w:r>
        <w:rPr>
          <w:rFonts w:hint="eastAsia" w:ascii="仿宋" w:hAnsi="仿宋" w:eastAsia="仿宋" w:cs="仿宋"/>
          <w:sz w:val="32"/>
          <w:szCs w:val="32"/>
        </w:rPr>
        <w:t>深入学习习近平新时代中国特色社会主义思想及党的二十大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及二十届历次全会</w:t>
      </w:r>
      <w:r>
        <w:rPr>
          <w:rFonts w:hint="eastAsia" w:ascii="仿宋" w:hAnsi="仿宋" w:eastAsia="仿宋" w:cs="仿宋"/>
          <w:sz w:val="32"/>
          <w:szCs w:val="32"/>
        </w:rPr>
        <w:t>精神，开展集中学习与专题研讨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次，引导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全体检察人员</w:t>
      </w:r>
      <w:r>
        <w:rPr>
          <w:rFonts w:hint="eastAsia" w:ascii="仿宋" w:hAnsi="仿宋" w:eastAsia="仿宋" w:cs="仿宋"/>
          <w:sz w:val="32"/>
          <w:szCs w:val="32"/>
        </w:rPr>
        <w:t>深刻领悟“两个确立”的决定性意义。严肃党内政治生活，高质量召开年度组织生活会，落实“三会一课”制度，班子成员带头讲党课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4次</w:t>
      </w:r>
      <w:r>
        <w:rPr>
          <w:rFonts w:hint="eastAsia" w:ascii="仿宋" w:hAnsi="仿宋" w:eastAsia="仿宋" w:cs="仿宋"/>
          <w:sz w:val="32"/>
          <w:szCs w:val="32"/>
        </w:rPr>
        <w:t>。抓实意识形态工作责任制，定期分析研判风险，严格管理宣传阵地，执行信息发布“三审”制度，全年发布正面宣传信息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2000余条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461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（二）聚焦固本强基，筑牢组织建设“桥头堡”</w:t>
      </w:r>
    </w:p>
    <w:p w14:paraId="233E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持续推进“坚强堡垒模范党支部”建设，深化“‘双限’引领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检心向党争先锋”党建品牌，推动党建与业务、队伍、廉政等“五融”发展。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联合霍林郭勒市人民检察院党支部</w:t>
      </w:r>
      <w:r>
        <w:rPr>
          <w:rFonts w:hint="eastAsia" w:ascii="仿宋" w:hAnsi="仿宋" w:eastAsia="仿宋" w:cs="仿宋"/>
          <w:sz w:val="32"/>
          <w:szCs w:val="32"/>
        </w:rPr>
        <w:t>创新开展跨区域党建共建。严把党员发展政治关、程序关，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年内2名预备党员转正，另有5名检察人员递交入党申请书，发展入党积极分子2名。</w:t>
      </w:r>
      <w:r>
        <w:rPr>
          <w:rFonts w:hint="eastAsia" w:ascii="仿宋" w:hAnsi="仿宋" w:eastAsia="仿宋" w:cs="仿宋"/>
          <w:sz w:val="32"/>
          <w:szCs w:val="32"/>
        </w:rPr>
        <w:t>加强党员日常教育管理监督，依托考核机制激励党员在一线作表率，开展“检察之星”评选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4期12人次</w:t>
      </w:r>
      <w:r>
        <w:rPr>
          <w:rFonts w:hint="eastAsia" w:ascii="仿宋" w:hAnsi="仿宋" w:eastAsia="仿宋" w:cs="仿宋"/>
          <w:sz w:val="32"/>
          <w:szCs w:val="32"/>
        </w:rPr>
        <w:t>。认真落实党务公开制度，通过多种形式及时公开党组织重大事项，保障党员民主权利。</w:t>
      </w:r>
    </w:p>
    <w:p w14:paraId="599FD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（三）聚焦正风肃纪，绷紧作风建设“安全弦”</w:t>
      </w:r>
    </w:p>
    <w:p w14:paraId="6C60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将中央八项规定精神学习教育纳入支部学习必修内容，组织观看警示教育片、参观廉政教育基地，常态化开展廉政谈话。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全院累计规范记录报告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三个规定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等重大事项27件，班子成员带头记录填报“三个规定”16件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，填报率保持100%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认真履行党风廉政建设主体责任，支持配合派驻纪检监察组工作，排查履职廉政风险。力戒形式主义官僚主义，精简会议文件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班子成员带头深入包联点调研，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为群众办实事、解难题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20余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88A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（四）聚焦中心大局，提升服务发展“贡献度”</w:t>
      </w:r>
    </w:p>
    <w:p w14:paraId="76009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自觉将检察工作置于服务建设“两个屏障”、“两个基地”、“一个桥头堡”的大局中谋划，在优化营商环境、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守护生态环境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工作中设立党员责任区、突击队。</w:t>
      </w:r>
      <w:r>
        <w:rPr>
          <w:rFonts w:hint="eastAsia" w:ascii="Mongolian Baiti" w:hAnsi="Mongolian Baiti" w:eastAsia="仿宋_GB2312" w:cs="Mongolian Baiti"/>
          <w:bCs/>
          <w:kern w:val="2"/>
          <w:sz w:val="32"/>
          <w:szCs w:val="32"/>
          <w:lang w:val="en-US" w:eastAsia="zh-CN" w:bidi="ar-SA"/>
        </w:rPr>
        <w:t>出台《打造民营企业维权“直通车”》机制，细化涉企案件办理流程。开展涉企案件质量评查，调取法院卷宗30件，制发检察建议2件。积极参加“毁林毁草”违规违法行为集中整治工作，办理“毁林毁草”等环资类刑事案件52件55人，恢复林草植被15405.441亩。</w:t>
      </w:r>
      <w:r>
        <w:rPr>
          <w:rFonts w:hint="eastAsia" w:ascii="仿宋" w:hAnsi="仿宋" w:eastAsia="仿宋" w:cs="仿宋"/>
          <w:sz w:val="32"/>
          <w:szCs w:val="32"/>
        </w:rPr>
        <w:t>推动党建引领基层治理，助力乡村振兴，选派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2名</w:t>
      </w:r>
      <w:r>
        <w:rPr>
          <w:rFonts w:hint="eastAsia" w:ascii="仿宋" w:hAnsi="仿宋" w:eastAsia="仿宋" w:cs="仿宋"/>
          <w:sz w:val="32"/>
          <w:szCs w:val="32"/>
        </w:rPr>
        <w:t>党员骨干参与包联村工作，党员常态化下沉社区参与治理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开展“感党恩、听党话、跟党走”群众教育实践活动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我为群众办实事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实践活动10次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5B1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二、存在的问题及原因分析</w:t>
      </w:r>
    </w:p>
    <w:p w14:paraId="0817A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（一）党建与业务融合的深度和显示度有待加强。</w:t>
      </w:r>
      <w:r>
        <w:rPr>
          <w:rFonts w:hint="eastAsia" w:ascii="仿宋" w:hAnsi="仿宋" w:eastAsia="仿宋" w:cs="仿宋"/>
          <w:sz w:val="32"/>
          <w:szCs w:val="32"/>
        </w:rPr>
        <w:t>实践中，“五融”工作法的机制尚不系统，成效不够显著，个别部门存在“重业务、轻党建”倾向，党建引领攻坚、推动创新的典型案例不多。究其原因：一是融合的顶层设计与路径探索需深化，缺乏可量化、可考核的深度融合评价体系；二是将业务难点作为党建重点进行攻关的组织化程度不足，支部战斗堡垒作用在破解业务瓶颈上有待进一步挖掘。</w:t>
      </w:r>
    </w:p>
    <w:p w14:paraId="2637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（二）党员教育管理的精准性和有效性有待提升。</w:t>
      </w:r>
      <w:r>
        <w:rPr>
          <w:rFonts w:hint="eastAsia" w:ascii="仿宋" w:hAnsi="仿宋" w:eastAsia="仿宋" w:cs="仿宋"/>
          <w:sz w:val="32"/>
          <w:szCs w:val="32"/>
        </w:rPr>
        <w:t>教育形式仍以传统集中学习为主，针对不同岗位、年龄党员的个性化、差异化教育供给不足，吸引力、感染力不强。党员先锋模范作用在日常细微处的体现不够充分，常态化激励约束机制有待完善。原因在于：一是教育管理模式创新不足，未能充分利用数字化、情景化等现代手段；二是对党员思想动态及“八小时外”的监督管理方式较为单一，严管与厚爱结合不够到位。</w:t>
      </w:r>
    </w:p>
    <w:p w14:paraId="68E3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（三）党建品牌的内涵塑造与辐射效应有待拓展。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精心益检</w:t>
      </w:r>
      <w:r>
        <w:rPr>
          <w:rFonts w:hint="eastAsia" w:ascii="仿宋" w:hAnsi="仿宋" w:eastAsia="仿宋" w:cs="仿宋"/>
          <w:sz w:val="32"/>
          <w:szCs w:val="32"/>
        </w:rPr>
        <w:t>”等品牌的内涵挖掘、故事讲述和对外影响力薄弱，未能完全形成以品牌汇聚力量、推动工作的强大动能。支部特色工作总结、经验提炼能力不足，“一院一品”成果不够丰硕。这反映出支部在品牌建设的系统性谋划和持续性推广上投入不足，满足于“有品牌”，但在“亮品牌”、“强品牌”上缺乏有效举措和资源整合。</w:t>
      </w:r>
    </w:p>
    <w:p w14:paraId="4B4DD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（四）联系服务群众的“最后一公里”有待夯实。</w:t>
      </w:r>
      <w:r>
        <w:rPr>
          <w:rFonts w:hint="eastAsia" w:ascii="仿宋" w:hAnsi="仿宋" w:eastAsia="仿宋" w:cs="仿宋"/>
          <w:sz w:val="32"/>
          <w:szCs w:val="32"/>
        </w:rPr>
        <w:t>常态化的民意收集、精准化的服务对接机制不健全，检察职能向基层社会治理延伸的切入点与载体不够丰富，运用法治方式解决群众急难愁盼问题的响应速度与综合效能需提高。其根源在于：以人民为中心的发展思想在具体行动中落实不够彻底，深入基层调查研究的频次与深度有待提升，依靠群众推进工作的方法不够灵活。</w:t>
      </w:r>
    </w:p>
    <w:p w14:paraId="690C8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三、下一步工作计划</w:t>
      </w:r>
    </w:p>
    <w:p w14:paraId="2D0E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（一）在“深化融合”上攻坚，推动党建业务“双轮驱动”。</w:t>
      </w:r>
      <w:r>
        <w:rPr>
          <w:rFonts w:hint="eastAsia" w:ascii="仿宋" w:hAnsi="仿宋" w:eastAsia="仿宋" w:cs="仿宋"/>
          <w:sz w:val="32"/>
          <w:szCs w:val="32"/>
        </w:rPr>
        <w:t>制定出台《党建与检察业务深度融合实施细则》，建立“支部委员联系重大疑难案件”等机制。设立“党员先锋办案组”，围绕服务高质量发展等重点领域，打造一批“党建+业务”标杆案例。</w:t>
      </w:r>
    </w:p>
    <w:p w14:paraId="446EB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（二）在“精细管理”上攻坚，实现党员队伍“活力迸发”。</w:t>
      </w:r>
      <w:r>
        <w:rPr>
          <w:rFonts w:hint="eastAsia" w:ascii="仿宋" w:hAnsi="仿宋" w:eastAsia="仿宋" w:cs="仿宋"/>
          <w:sz w:val="32"/>
          <w:szCs w:val="32"/>
        </w:rPr>
        <w:t>实施党员教育“精准滴灌”工程，运用“线上+线下”模式增强实效。完善党员积分量化管理制度，将履职、服务、廉洁等情况纳入积分并挂钩评优晋升。加强人文关怀与谈心谈话。</w:t>
      </w:r>
    </w:p>
    <w:p w14:paraId="7843C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（三）在“品牌赋能”上攻坚，打造左检党建“特色名片”。</w:t>
      </w:r>
      <w:r>
        <w:rPr>
          <w:rFonts w:hint="eastAsia" w:ascii="仿宋" w:hAnsi="仿宋" w:eastAsia="仿宋" w:cs="仿宋"/>
          <w:sz w:val="32"/>
          <w:szCs w:val="32"/>
        </w:rPr>
        <w:t>启动党建品牌升级计划，深度挖掘“双限引领”与检察履职、民族团结等的结合点。系统总结“朵兰”未检等特色工作经验，通过专题宣传提升品牌知晓度与美誉度。</w:t>
      </w:r>
    </w:p>
    <w:p w14:paraId="7E9E8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（四）在“下沉服务”上攻坚，践行司法为民“根本宗旨”。</w:t>
      </w:r>
      <w:r>
        <w:rPr>
          <w:rFonts w:hint="eastAsia" w:ascii="仿宋" w:hAnsi="仿宋" w:eastAsia="仿宋" w:cs="仿宋"/>
          <w:sz w:val="32"/>
          <w:szCs w:val="32"/>
        </w:rPr>
        <w:t>完善党员干部常态化下沉机制，推广“群众点单、支部派单、党员接单”模式。深化“检护达尔罕”文化品牌，开展特色普法、司法救助等活动。依托数字检察探索“云接访”等便民举措。</w:t>
      </w:r>
    </w:p>
    <w:p w14:paraId="211B407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B16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8B072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8B072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F5EDE"/>
    <w:rsid w:val="658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2025-12-15T07:04:00Z</dcterms:created>
  <dc:creator>雪松</dc:creator>
  <cp:lastModifiedBy>雪松</cp:lastModifiedBy>
  <dcterms:modified xsi:type="dcterms:W3CDTF">2025-12-15T07:07:23Z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E566FBB231CC46878A72CE30AD1B2529_11</vt:lpwstr>
  </property>
  <property fmtid="{D5CDD505-2E9C-101B-9397-08002B2CF9AE}" pid="4" name="KSOTemplateDocerSaveRecord">
    <vt:lpwstr>eyJoZGlkIjoiMzEwNTM5NzYwMDRjMzkwZTVkZjY2ODkwMGIxNGU0OTUiLCJ1c2VySWQiOiI2NDkyNDA5NzYifQ==</vt:lpwstr>
  </property>
</Properties>
</file>