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7EA84">
      <w:pPr>
        <w:pStyle w:val="5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政策发力 产业赋能</w:t>
      </w:r>
    </w:p>
    <w:p w14:paraId="1D297C0A">
      <w:pPr>
        <w:pStyle w:val="5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内蒙古以产业帮扶夯实增收底气</w:t>
      </w:r>
      <w:bookmarkEnd w:id="0"/>
    </w:p>
    <w:p w14:paraId="4BEE99C7">
      <w:pPr>
        <w:pStyle w:val="7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48BFA67E">
      <w:pPr>
        <w:pStyle w:val="7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近年来，内蒙古以建设国家重要农畜产品生产基地为抓手，分类施策推动帮扶产业提质增效，通过巩固优势产业、升级传统业态、盘活闲置资源、调整产业布局的“组合拳”增强脱贫地区内生动力，实现从“输血”到“造血”转变，持续推动农牧民增收。</w:t>
      </w:r>
    </w:p>
    <w:p w14:paraId="77DDE6BF">
      <w:pPr>
        <w:pStyle w:val="7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2C679E1B">
      <w:pPr>
        <w:pStyle w:val="7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筑牢农牧业根基，做大做强主导产业。内蒙古是典型的农牧业大区，农牧业是农牧民收入的主要来源，农牧民生产经营性收入占比达55%。近年来，内蒙古紧紧围绕粮食安全和重要农畜产品有效供给，发展壮大种植养殖业。内蒙古先后出台“奶业33条”“种业振兴18条”“马铃薯6条”“精深加工9条”等25个含金量高的政策措施；自治区人大出台《内蒙古自治区农用薄膜污染防治条例》等5部法规条例，持续提高农牧业综合生产能力。</w:t>
      </w:r>
    </w:p>
    <w:p w14:paraId="577172AE">
      <w:pPr>
        <w:pStyle w:val="7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聚焦产业短板，精准构建产业“矩阵”。内蒙古聚焦粮、肉、乳、草等7条农牧业重点产业链，建设中西部奶业集群、河套向日葵、旱作谷子等10个国家优势特色产业集群，科尔沁左翼中旗、和林格尔县、杭锦后旗等13个国家现代农业产业园，林西县统部镇、固阳县下湿壕镇、科尔沁右翼前旗察尔森镇等70个农业产业强镇，推动短板产业补链、优势产业延链、传统产业升链、新兴产业建链，破解产业链断点堵点，乳、肉、薯、绒等7条重点产业链产值突破7000亿元。脱贫地区依托帮扶政策支持，因地制宜发展种植养殖、农畜产品加工、仓储保鲜、冷链物流、乡村旅游等产业，拓宽了农牧民增收渠道，形成以产业带动就业、以就业促进增收的局面。</w:t>
      </w:r>
    </w:p>
    <w:p w14:paraId="636B947F">
      <w:pPr>
        <w:pStyle w:val="7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20D82138">
      <w:pPr>
        <w:pStyle w:val="7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类盘活资产，推动产业提质升级。内蒙古制定帮扶项目资产后续管理措施，出台帮扶产业巩固、提升、盘活、调整“四个一批”工作方案，开展盘活闲置低效帮扶资产专项行动，按照“边排边盘”方式，采取升级改造、招强引优、转变用途、灵活重组、瘦身止损、优化配置6种方式分类推进盘活利用项目资产。</w:t>
      </w:r>
    </w:p>
    <w:p w14:paraId="6A571D80">
      <w:pPr>
        <w:pStyle w:val="7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489FEA84">
      <w:pPr>
        <w:pStyle w:val="7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健全联结机制，保障农牧民稳定增收。每年安排15%左右的衔接资金用于保障到人到户产业项目，带动33万脱贫户和监测户户均增收4000元。出台规范衔接资金到户项目补贴指导措施，按照“多干多补、少干少补、不干不补”原则，投入8.63亿元支持脱贫人口和监测对象发展到人到户产业项目。设施农业、舍饲圈养、庭院经济等帮扶产业带动脱贫人口70.6万人、监测人口6.5万人。强化科技特派员“双向选择”机制，创新科技110服务模式，建设科技小院，采取“统种共富”“统种共养”等模式，推动农机装备、科技成果、智慧生产等技术向产业链末梢渗透。实施“双+”分级联结，采取“龙头企业+合作社”“合作社+农牧户”等利益联结模式，明确风险补偿与订单履约条款。对订单履约率、分配透明度等关键指标进行常态化督导，防止农牧户权益受到挤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B2CD4"/>
    <w:rsid w:val="1BEF2D2D"/>
    <w:rsid w:val="36D80B1D"/>
    <w:rsid w:val="3E7F7BEE"/>
    <w:rsid w:val="525C5AC2"/>
    <w:rsid w:val="58BE7D3A"/>
    <w:rsid w:val="6C2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"/>
    <w:basedOn w:val="1"/>
    <w:qFormat/>
    <w:uiPriority w:val="0"/>
    <w:pPr>
      <w:keepNext/>
      <w:keepLines/>
      <w:spacing w:line="560" w:lineRule="exact"/>
      <w:ind w:firstLine="420" w:firstLineChars="200"/>
      <w:jc w:val="left"/>
      <w:outlineLvl w:val="1"/>
    </w:pPr>
    <w:rPr>
      <w:rFonts w:hint="default" w:ascii="方正黑体简体" w:hAnsi="方正黑体简体" w:eastAsia="方正黑体简体" w:cs="方正黑体简体"/>
      <w:sz w:val="32"/>
      <w:szCs w:val="32"/>
    </w:rPr>
  </w:style>
  <w:style w:type="paragraph" w:customStyle="1" w:styleId="5">
    <w:name w:val="大标题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二级标题"/>
    <w:basedOn w:val="1"/>
    <w:uiPriority w:val="0"/>
    <w:pPr>
      <w:keepNext/>
      <w:keepLines/>
      <w:spacing w:line="560" w:lineRule="exact"/>
      <w:jc w:val="center"/>
      <w:outlineLvl w:val="1"/>
    </w:pPr>
    <w:rPr>
      <w:rFonts w:hint="default" w:ascii="方正楷体简体" w:hAnsi="方正楷体简体" w:eastAsia="方正楷体简体" w:cs="方正楷体简体"/>
      <w:sz w:val="32"/>
      <w:szCs w:val="32"/>
    </w:rPr>
  </w:style>
  <w:style w:type="paragraph" w:customStyle="1" w:styleId="7">
    <w:name w:val="正文真"/>
    <w:basedOn w:val="1"/>
    <w:qFormat/>
    <w:uiPriority w:val="0"/>
    <w:pPr>
      <w:keepNext/>
      <w:keepLines/>
      <w:spacing w:line="560" w:lineRule="exact"/>
      <w:ind w:firstLine="420" w:firstLineChars="200"/>
      <w:jc w:val="both"/>
    </w:pPr>
    <w:rPr>
      <w:rFonts w:hint="default" w:ascii="Times New Roman" w:hAnsi="Times New Roman" w:eastAsia="方正仿宋简体" w:cs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2025-12-19T02:06:00Z</dcterms:created>
  <dc:creator>葛昕颖</dc:creator>
  <cp:lastModifiedBy>葛昕颖</cp:lastModifiedBy>
  <dcterms:modified xsi:type="dcterms:W3CDTF">2025-12-19T02:21:25Z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EECF29C301E442C9B6F9E55827101495_11</vt:lpwstr>
  </property>
  <property fmtid="{D5CDD505-2E9C-101B-9397-08002B2CF9AE}" pid="4" name="KSOTemplateDocerSaveRecord">
    <vt:lpwstr>eyJoZGlkIjoiZGJkY2ExYzJhMGFhMGZhNzZhOGYyMjA5YjdmMmRjZmQiLCJ1c2VySWQiOiIyNzI0ODk1NDkifQ==</vt:lpwstr>
  </property>
</Properties>
</file>